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CC3C"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24986AC7" wp14:editId="06451C61">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CAE4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533EF3B6" w14:textId="77777777" w:rsidR="00464E40" w:rsidRDefault="00464E40" w:rsidP="008D4068">
      <w:pPr>
        <w:shd w:val="clear" w:color="auto" w:fill="FFFFFF" w:themeFill="background1"/>
        <w:rPr>
          <w:rStyle w:val="Strong"/>
          <w:szCs w:val="18"/>
        </w:rPr>
      </w:pPr>
    </w:p>
    <w:p w14:paraId="311865C2" w14:textId="77777777" w:rsidR="00464E40" w:rsidRPr="00464E40" w:rsidRDefault="00464E40" w:rsidP="008D4068">
      <w:pPr>
        <w:shd w:val="clear" w:color="auto" w:fill="FFFFFF" w:themeFill="background1"/>
        <w:rPr>
          <w:b/>
          <w:bCs/>
          <w:color w:val="041425" w:themeColor="text1"/>
          <w:szCs w:val="18"/>
        </w:rPr>
      </w:pPr>
    </w:p>
    <w:p w14:paraId="100498C0"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1B64A5FD"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7F40A323" w14:textId="77777777" w:rsidR="00FE2312" w:rsidRDefault="00FE2312" w:rsidP="004D4723">
      <w:pPr>
        <w:pStyle w:val="Heading2"/>
        <w:numPr>
          <w:ilvl w:val="0"/>
          <w:numId w:val="0"/>
        </w:numPr>
        <w:rPr>
          <w:rFonts w:asciiTheme="minorHAnsi" w:hAnsiTheme="minorHAnsi" w:cstheme="minorHAnsi"/>
          <w:sz w:val="24"/>
          <w:szCs w:val="24"/>
        </w:rPr>
      </w:pPr>
    </w:p>
    <w:p w14:paraId="6DBF79D0"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 xml:space="preserve">Change Request </w:t>
      </w:r>
      <w:proofErr w:type="gramStart"/>
      <w:r w:rsidRPr="004D4723">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2409"/>
        <w:gridCol w:w="2127"/>
        <w:gridCol w:w="2177"/>
      </w:tblGrid>
      <w:tr w:rsidR="004D4723" w:rsidRPr="00DF7C48" w14:paraId="52DC03A5" w14:textId="77777777" w:rsidTr="6B31560C">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2" w:themeFillShade="D9"/>
          </w:tcPr>
          <w:p w14:paraId="65B10364"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1A17246" w14:textId="77777777" w:rsidTr="6B31560C">
        <w:tc>
          <w:tcPr>
            <w:tcW w:w="3813" w:type="dxa"/>
            <w:tcBorders>
              <w:left w:val="single" w:sz="4" w:space="0" w:color="auto"/>
              <w:right w:val="single" w:sz="4" w:space="0" w:color="auto"/>
            </w:tcBorders>
            <w:shd w:val="clear" w:color="auto" w:fill="F2F2F2" w:themeFill="background2" w:themeFillShade="F2"/>
          </w:tcPr>
          <w:p w14:paraId="5D84B57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473399D6" w14:textId="77777777" w:rsidR="004D4723" w:rsidRPr="00DF7C48" w:rsidRDefault="008133C6" w:rsidP="6B31560C">
            <w:pPr>
              <w:pStyle w:val="MHHSBody"/>
              <w:rPr>
                <w:i/>
                <w:iCs/>
                <w:color w:val="808080" w:themeColor="background1" w:themeShade="80"/>
              </w:rPr>
            </w:pPr>
            <w:r w:rsidRPr="006741C8">
              <w:rPr>
                <w:rFonts w:cstheme="minorHAnsi"/>
                <w:i/>
                <w:iCs/>
                <w:szCs w:val="20"/>
              </w:rPr>
              <w:t xml:space="preserve">Change the </w:t>
            </w:r>
            <w:r w:rsidR="003A13C3" w:rsidRPr="006741C8">
              <w:rPr>
                <w:rFonts w:cstheme="minorHAnsi"/>
                <w:i/>
                <w:iCs/>
                <w:szCs w:val="20"/>
              </w:rPr>
              <w:t>format of</w:t>
            </w:r>
            <w:r w:rsidRPr="006741C8">
              <w:rPr>
                <w:rFonts w:cstheme="minorHAnsi"/>
                <w:i/>
                <w:iCs/>
                <w:szCs w:val="20"/>
              </w:rPr>
              <w:t xml:space="preserve"> Market Participant Role Code</w:t>
            </w:r>
            <w:r w:rsidR="003A13C3" w:rsidRPr="006741C8">
              <w:rPr>
                <w:rFonts w:cstheme="minorHAnsi"/>
                <w:i/>
                <w:iCs/>
                <w:szCs w:val="20"/>
              </w:rPr>
              <w:t xml:space="preserve"> from </w:t>
            </w:r>
            <w:proofErr w:type="gramStart"/>
            <w:r w:rsidR="003A13C3" w:rsidRPr="006741C8">
              <w:rPr>
                <w:rFonts w:cstheme="minorHAnsi"/>
                <w:i/>
                <w:iCs/>
                <w:szCs w:val="20"/>
              </w:rPr>
              <w:t>Char(</w:t>
            </w:r>
            <w:proofErr w:type="gramEnd"/>
            <w:r w:rsidR="003A13C3" w:rsidRPr="006741C8">
              <w:rPr>
                <w:rFonts w:cstheme="minorHAnsi"/>
                <w:i/>
                <w:iCs/>
                <w:szCs w:val="20"/>
              </w:rPr>
              <w:t>1) to Char(2)</w:t>
            </w:r>
            <w:r w:rsidR="003A13C3" w:rsidRPr="6B31560C">
              <w:rPr>
                <w:i/>
                <w:iCs/>
                <w:color w:val="808080" w:themeColor="background2" w:themeShade="80"/>
              </w:rPr>
              <w:t xml:space="preserve"> </w:t>
            </w:r>
          </w:p>
        </w:tc>
      </w:tr>
      <w:tr w:rsidR="004D4723" w:rsidRPr="00DF7C48" w14:paraId="2BA84FC9" w14:textId="77777777" w:rsidTr="6B31560C">
        <w:tc>
          <w:tcPr>
            <w:tcW w:w="3813" w:type="dxa"/>
            <w:tcBorders>
              <w:left w:val="single" w:sz="4" w:space="0" w:color="auto"/>
              <w:right w:val="single" w:sz="4" w:space="0" w:color="auto"/>
            </w:tcBorders>
            <w:shd w:val="clear" w:color="auto" w:fill="F2F2F2" w:themeFill="background2" w:themeFillShade="F2"/>
          </w:tcPr>
          <w:p w14:paraId="49A99E80"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0B3281C0" w14:textId="424C0CA2" w:rsidR="004D4723" w:rsidRPr="00DF7C48" w:rsidRDefault="00DC79B4" w:rsidP="005A4D7B">
            <w:pPr>
              <w:pStyle w:val="MHHSBody"/>
              <w:rPr>
                <w:rFonts w:cstheme="minorHAnsi"/>
                <w:i/>
                <w:iCs/>
                <w:szCs w:val="20"/>
              </w:rPr>
            </w:pPr>
            <w:r>
              <w:rPr>
                <w:rFonts w:cstheme="minorHAnsi"/>
                <w:i/>
                <w:iCs/>
                <w:szCs w:val="20"/>
              </w:rPr>
              <w:t>CR041</w:t>
            </w:r>
          </w:p>
        </w:tc>
      </w:tr>
      <w:tr w:rsidR="004D4723" w:rsidRPr="00DF7C48" w14:paraId="61FF495E" w14:textId="77777777" w:rsidTr="6B31560C">
        <w:tc>
          <w:tcPr>
            <w:tcW w:w="3813" w:type="dxa"/>
            <w:tcBorders>
              <w:left w:val="single" w:sz="4" w:space="0" w:color="auto"/>
              <w:right w:val="single" w:sz="4" w:space="0" w:color="auto"/>
            </w:tcBorders>
            <w:shd w:val="clear" w:color="auto" w:fill="F2F2F2" w:themeFill="background2" w:themeFillShade="F2"/>
          </w:tcPr>
          <w:p w14:paraId="73098BDD"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50477FD1" w14:textId="77777777" w:rsidR="004D4723" w:rsidRPr="00DF7C48" w:rsidRDefault="008133C6" w:rsidP="005A4D7B">
            <w:pPr>
              <w:pStyle w:val="MHHSBody"/>
              <w:rPr>
                <w:rFonts w:cstheme="minorHAnsi"/>
                <w:i/>
                <w:iCs/>
                <w:szCs w:val="20"/>
              </w:rPr>
            </w:pPr>
            <w:r>
              <w:rPr>
                <w:rFonts w:cstheme="minorHAnsi"/>
                <w:i/>
                <w:iCs/>
                <w:szCs w:val="20"/>
              </w:rPr>
              <w:t>CCAG</w:t>
            </w:r>
          </w:p>
        </w:tc>
      </w:tr>
      <w:tr w:rsidR="004D4723" w:rsidRPr="00DF7C48" w14:paraId="63C856D4" w14:textId="77777777" w:rsidTr="6B31560C">
        <w:tc>
          <w:tcPr>
            <w:tcW w:w="3813" w:type="dxa"/>
            <w:tcBorders>
              <w:left w:val="single" w:sz="4" w:space="0" w:color="auto"/>
              <w:right w:val="single" w:sz="4" w:space="0" w:color="auto"/>
            </w:tcBorders>
            <w:shd w:val="clear" w:color="auto" w:fill="F2F2F2" w:themeFill="background2" w:themeFillShade="F2"/>
          </w:tcPr>
          <w:p w14:paraId="19AE9030"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58DE50A3" w14:textId="77777777" w:rsidR="004D4723" w:rsidRPr="00DF7C48" w:rsidRDefault="003A13C3" w:rsidP="005A4D7B">
            <w:pPr>
              <w:pStyle w:val="MHHSBody"/>
              <w:rPr>
                <w:rFonts w:cstheme="minorHAnsi"/>
                <w:i/>
                <w:iCs/>
                <w:szCs w:val="20"/>
              </w:rPr>
            </w:pPr>
            <w:r>
              <w:rPr>
                <w:rFonts w:cstheme="minorHAnsi"/>
                <w:i/>
                <w:iCs/>
                <w:szCs w:val="20"/>
              </w:rPr>
              <w:t xml:space="preserve">BSC </w:t>
            </w:r>
            <w:r w:rsidR="008133C6">
              <w:rPr>
                <w:rFonts w:cstheme="minorHAnsi"/>
                <w:i/>
                <w:iCs/>
                <w:szCs w:val="20"/>
              </w:rPr>
              <w:t>CP1589</w:t>
            </w:r>
            <w:r w:rsidRPr="006741C8">
              <w:rPr>
                <w:rFonts w:cstheme="minorHAnsi"/>
                <w:i/>
                <w:iCs/>
                <w:szCs w:val="20"/>
              </w:rPr>
              <w:t xml:space="preserve"> ‘Change the number of characters used to specify Market Participant Role Codes in the Market Domain Data’</w:t>
            </w:r>
          </w:p>
        </w:tc>
      </w:tr>
      <w:tr w:rsidR="004D4723" w:rsidRPr="00DF7C48" w14:paraId="3E140C3F" w14:textId="77777777" w:rsidTr="00AC5730">
        <w:trPr>
          <w:trHeight w:val="340"/>
        </w:trPr>
        <w:tc>
          <w:tcPr>
            <w:tcW w:w="3813" w:type="dxa"/>
            <w:tcBorders>
              <w:left w:val="single" w:sz="4" w:space="0" w:color="auto"/>
              <w:right w:val="single" w:sz="4" w:space="0" w:color="auto"/>
            </w:tcBorders>
            <w:shd w:val="clear" w:color="auto" w:fill="F2F2F2" w:themeFill="background2" w:themeFillShade="F2"/>
          </w:tcPr>
          <w:p w14:paraId="17B7E626"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2409" w:type="dxa"/>
            <w:tcBorders>
              <w:left w:val="single" w:sz="4" w:space="0" w:color="auto"/>
              <w:right w:val="single" w:sz="4" w:space="0" w:color="auto"/>
            </w:tcBorders>
          </w:tcPr>
          <w:p w14:paraId="0504FF33" w14:textId="29038775" w:rsidR="004D4723" w:rsidRPr="00DF7C48" w:rsidRDefault="00DC79B4" w:rsidP="005A4D7B">
            <w:pPr>
              <w:pStyle w:val="MHHSBody"/>
              <w:rPr>
                <w:rFonts w:cstheme="minorHAnsi"/>
                <w:i/>
                <w:iCs/>
                <w:szCs w:val="20"/>
              </w:rPr>
            </w:pPr>
            <w:r>
              <w:rPr>
                <w:rFonts w:cstheme="minorHAnsi"/>
                <w:i/>
                <w:iCs/>
                <w:szCs w:val="20"/>
              </w:rPr>
              <w:t xml:space="preserve">Colin Berry, </w:t>
            </w:r>
            <w:r w:rsidR="008133C6">
              <w:rPr>
                <w:rFonts w:cstheme="minorHAnsi"/>
                <w:i/>
                <w:iCs/>
                <w:szCs w:val="20"/>
              </w:rPr>
              <w:t>Elexon</w:t>
            </w:r>
          </w:p>
        </w:tc>
        <w:tc>
          <w:tcPr>
            <w:tcW w:w="2127" w:type="dxa"/>
            <w:tcBorders>
              <w:left w:val="single" w:sz="4" w:space="0" w:color="auto"/>
              <w:right w:val="single" w:sz="4" w:space="0" w:color="auto"/>
            </w:tcBorders>
          </w:tcPr>
          <w:p w14:paraId="2BBEEE44"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2177" w:type="dxa"/>
            <w:tcBorders>
              <w:left w:val="single" w:sz="4" w:space="0" w:color="auto"/>
              <w:right w:val="single" w:sz="4" w:space="0" w:color="auto"/>
            </w:tcBorders>
          </w:tcPr>
          <w:p w14:paraId="56C77D05" w14:textId="77777777" w:rsidR="00393377" w:rsidRPr="00DF7C48" w:rsidRDefault="00F260AE" w:rsidP="005A4D7B">
            <w:pPr>
              <w:pStyle w:val="MHHSBody"/>
              <w:rPr>
                <w:rFonts w:cstheme="minorHAnsi"/>
                <w:i/>
                <w:iCs/>
                <w:szCs w:val="20"/>
              </w:rPr>
            </w:pPr>
            <w:r>
              <w:rPr>
                <w:rFonts w:ascii="Arial" w:hAnsi="Arial" w:cs="Arial"/>
                <w:color w:val="221F1F"/>
                <w:shd w:val="clear" w:color="auto" w:fill="F6F6F6"/>
              </w:rPr>
              <w:t>15 December 2023</w:t>
            </w:r>
          </w:p>
        </w:tc>
      </w:tr>
    </w:tbl>
    <w:p w14:paraId="2226A827" w14:textId="77777777" w:rsidR="00393377" w:rsidRPr="00393377" w:rsidRDefault="00393377" w:rsidP="00393377">
      <w:pPr>
        <w:pStyle w:val="MHHSBody"/>
      </w:pPr>
    </w:p>
    <w:p w14:paraId="400D9CC9"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6544A2D5"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31273E90"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1527C117"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23CB358"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4997DE6C"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0959D8F"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4DB91634"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6BFFD63D"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16CA5A88" w14:textId="77777777" w:rsidR="0065074D" w:rsidRPr="00DF7C48" w:rsidRDefault="0065074D" w:rsidP="00C82CFF">
            <w:pPr>
              <w:pStyle w:val="MHHSBody"/>
              <w:rPr>
                <w:rFonts w:cstheme="minorHAnsi"/>
                <w:szCs w:val="20"/>
              </w:rPr>
            </w:pPr>
            <w:r>
              <w:t>MHHS Governance Framework</w:t>
            </w:r>
          </w:p>
        </w:tc>
      </w:tr>
      <w:tr w:rsidR="0065074D" w:rsidRPr="00DF7C48" w14:paraId="127D59FC"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50CAE343"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6DF1C773" w14:textId="77777777" w:rsidR="00A2154A" w:rsidRPr="00393377" w:rsidRDefault="00162CC1">
      <w:pPr>
        <w:spacing w:after="160" w:line="259" w:lineRule="auto"/>
        <w:rPr>
          <w:szCs w:val="20"/>
        </w:rPr>
      </w:pPr>
      <w:r>
        <w:rPr>
          <w:szCs w:val="20"/>
        </w:rPr>
        <w:br w:type="page"/>
      </w:r>
    </w:p>
    <w:p w14:paraId="6F7D7BBD"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3C00F054"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0B10AB4C"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1B53075D" w14:textId="77777777" w:rsidTr="2175A205">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198841DA" w14:textId="77777777" w:rsidR="009D5B37" w:rsidRDefault="009D5B37" w:rsidP="009D5B37">
            <w:pPr>
              <w:pStyle w:val="MHHSBody"/>
              <w:jc w:val="center"/>
            </w:pPr>
            <w:r>
              <w:t>Part A – Description of proposed change</w:t>
            </w:r>
          </w:p>
        </w:tc>
      </w:tr>
      <w:tr w:rsidR="00790171" w14:paraId="52F64698" w14:textId="77777777" w:rsidTr="2175A205">
        <w:trPr>
          <w:trHeight w:val="1515"/>
        </w:trPr>
        <w:tc>
          <w:tcPr>
            <w:tcW w:w="10680" w:type="dxa"/>
            <w:gridSpan w:val="2"/>
            <w:vAlign w:val="top"/>
          </w:tcPr>
          <w:p w14:paraId="5B4E32FB" w14:textId="77777777" w:rsidR="00790171" w:rsidRDefault="00790171" w:rsidP="00BA4845">
            <w:pPr>
              <w:pStyle w:val="MHHSBody"/>
              <w:spacing w:after="20" w:line="0" w:lineRule="atLeast"/>
              <w:rPr>
                <w:b/>
                <w:bCs/>
              </w:rPr>
            </w:pPr>
            <w:r>
              <w:rPr>
                <w:b/>
                <w:bCs/>
              </w:rPr>
              <w:t>Issue statement:</w:t>
            </w:r>
          </w:p>
          <w:p w14:paraId="6206A9DD"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34AF6598" w14:textId="77777777" w:rsidR="006F125E" w:rsidRDefault="006F125E" w:rsidP="00BA4845">
            <w:pPr>
              <w:pStyle w:val="MHHSBody"/>
              <w:spacing w:after="20" w:line="0" w:lineRule="atLeast"/>
              <w:rPr>
                <w:i/>
                <w:iCs/>
                <w:sz w:val="16"/>
                <w:szCs w:val="16"/>
              </w:rPr>
            </w:pPr>
          </w:p>
          <w:p w14:paraId="47D937AF" w14:textId="77777777" w:rsidR="00734721" w:rsidRDefault="00670C7D" w:rsidP="00DC68A9">
            <w:pPr>
              <w:pStyle w:val="MHHSBody"/>
              <w:spacing w:before="120" w:after="0" w:line="0" w:lineRule="atLeast"/>
              <w:rPr>
                <w:szCs w:val="16"/>
              </w:rPr>
            </w:pPr>
            <w:proofErr w:type="spellStart"/>
            <w:r>
              <w:rPr>
                <w:szCs w:val="16"/>
              </w:rPr>
              <w:t>BSCCo</w:t>
            </w:r>
            <w:proofErr w:type="spellEnd"/>
            <w:r>
              <w:rPr>
                <w:szCs w:val="16"/>
              </w:rPr>
              <w:t xml:space="preserve"> has raised BSC Change Proposal </w:t>
            </w:r>
            <w:hyperlink r:id="rId11" w:history="1">
              <w:r w:rsidR="00734721" w:rsidRPr="00BA2126">
                <w:rPr>
                  <w:rStyle w:val="Hyperlink"/>
                  <w:szCs w:val="16"/>
                </w:rPr>
                <w:t>BSC CP1589</w:t>
              </w:r>
            </w:hyperlink>
            <w:r w:rsidR="00734721">
              <w:rPr>
                <w:szCs w:val="16"/>
              </w:rPr>
              <w:t xml:space="preserve"> </w:t>
            </w:r>
            <w:r>
              <w:rPr>
                <w:szCs w:val="16"/>
              </w:rPr>
              <w:t>‘</w:t>
            </w:r>
            <w:r w:rsidRPr="00804A49">
              <w:rPr>
                <w:szCs w:val="16"/>
              </w:rPr>
              <w:t>Change the number of characters used to specify Market Participant Role Codes in the Market Domain Data’</w:t>
            </w:r>
            <w:r w:rsidR="001045C2">
              <w:rPr>
                <w:szCs w:val="16"/>
              </w:rPr>
              <w:t>. CP1589 seeks</w:t>
            </w:r>
            <w:r w:rsidR="003D16A6">
              <w:rPr>
                <w:szCs w:val="16"/>
              </w:rPr>
              <w:t xml:space="preserve"> to address the </w:t>
            </w:r>
            <w:proofErr w:type="spellStart"/>
            <w:r w:rsidR="003D16A6">
              <w:rPr>
                <w:szCs w:val="16"/>
              </w:rPr>
              <w:t>BSCCo</w:t>
            </w:r>
            <w:proofErr w:type="spellEnd"/>
            <w:r w:rsidR="003D16A6">
              <w:rPr>
                <w:szCs w:val="16"/>
              </w:rPr>
              <w:t xml:space="preserve"> issue </w:t>
            </w:r>
            <w:r w:rsidR="00734721">
              <w:rPr>
                <w:szCs w:val="16"/>
              </w:rPr>
              <w:t xml:space="preserve">that there are no </w:t>
            </w:r>
            <w:r w:rsidR="008133C6" w:rsidRPr="008133C6">
              <w:rPr>
                <w:szCs w:val="16"/>
              </w:rPr>
              <w:t>Market Participant Role Code</w:t>
            </w:r>
            <w:r w:rsidR="00734721">
              <w:rPr>
                <w:szCs w:val="16"/>
              </w:rPr>
              <w:t xml:space="preserve">s currently available for </w:t>
            </w:r>
            <w:proofErr w:type="spellStart"/>
            <w:r w:rsidR="00734721">
              <w:rPr>
                <w:szCs w:val="16"/>
              </w:rPr>
              <w:t>BSCCo</w:t>
            </w:r>
            <w:proofErr w:type="spellEnd"/>
            <w:r w:rsidR="00734721">
              <w:rPr>
                <w:szCs w:val="16"/>
              </w:rPr>
              <w:t xml:space="preserve"> to allocate to new Market Participants</w:t>
            </w:r>
            <w:r w:rsidR="00C86C28">
              <w:rPr>
                <w:szCs w:val="16"/>
              </w:rPr>
              <w:t xml:space="preserve"> which would be highly likely to</w:t>
            </w:r>
            <w:r w:rsidR="003D16A6">
              <w:rPr>
                <w:szCs w:val="16"/>
              </w:rPr>
              <w:t xml:space="preserve"> have a significant adverse impact</w:t>
            </w:r>
            <w:r w:rsidR="00C86C28">
              <w:rPr>
                <w:szCs w:val="16"/>
              </w:rPr>
              <w:t xml:space="preserve"> on new and amended </w:t>
            </w:r>
            <w:r w:rsidR="00C560E5">
              <w:rPr>
                <w:szCs w:val="16"/>
              </w:rPr>
              <w:t>industry processes and initiatives</w:t>
            </w:r>
            <w:r w:rsidR="007670C9">
              <w:rPr>
                <w:szCs w:val="16"/>
              </w:rPr>
              <w:t>.</w:t>
            </w:r>
          </w:p>
          <w:p w14:paraId="733A08A4" w14:textId="77777777" w:rsidR="00B0254B" w:rsidRDefault="00B0254B" w:rsidP="001A0E16">
            <w:pPr>
              <w:pStyle w:val="MHHSBody"/>
              <w:spacing w:after="20" w:line="0" w:lineRule="atLeast"/>
              <w:rPr>
                <w:sz w:val="16"/>
                <w:szCs w:val="16"/>
              </w:rPr>
            </w:pPr>
          </w:p>
          <w:p w14:paraId="146A7424" w14:textId="77777777" w:rsidR="007670C9" w:rsidRPr="00E50124" w:rsidRDefault="007670C9" w:rsidP="001A0E16">
            <w:pPr>
              <w:pStyle w:val="MHHSBody"/>
              <w:spacing w:after="20" w:line="0" w:lineRule="atLeast"/>
              <w:rPr>
                <w:sz w:val="16"/>
                <w:szCs w:val="16"/>
              </w:rPr>
            </w:pPr>
          </w:p>
        </w:tc>
      </w:tr>
      <w:tr w:rsidR="009D5B37" w14:paraId="6224F826" w14:textId="77777777" w:rsidTr="2175A205">
        <w:trPr>
          <w:trHeight w:val="1515"/>
        </w:trPr>
        <w:tc>
          <w:tcPr>
            <w:tcW w:w="10680" w:type="dxa"/>
            <w:gridSpan w:val="2"/>
            <w:vAlign w:val="top"/>
          </w:tcPr>
          <w:p w14:paraId="4CFF13ED" w14:textId="77777777" w:rsidR="002D321F" w:rsidRDefault="00D07618" w:rsidP="00BA4845">
            <w:pPr>
              <w:pStyle w:val="MHHSBody"/>
              <w:spacing w:after="20" w:line="0" w:lineRule="atLeast"/>
              <w:rPr>
                <w:b/>
                <w:bCs/>
              </w:rPr>
            </w:pPr>
            <w:r w:rsidRPr="00D07618">
              <w:rPr>
                <w:b/>
                <w:bCs/>
              </w:rPr>
              <w:t>Description of change:</w:t>
            </w:r>
          </w:p>
          <w:p w14:paraId="70AC5BB6" w14:textId="77777777"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1F47558C" w14:textId="77777777" w:rsidR="007670C9" w:rsidRDefault="007670C9" w:rsidP="007670C9">
            <w:pPr>
              <w:pStyle w:val="MHHSBody"/>
              <w:spacing w:before="120" w:line="0" w:lineRule="atLeast"/>
              <w:rPr>
                <w:szCs w:val="16"/>
              </w:rPr>
            </w:pPr>
            <w:r>
              <w:rPr>
                <w:szCs w:val="16"/>
              </w:rPr>
              <w:t xml:space="preserve">The solution proposed in CP1589 is to change the format of the </w:t>
            </w:r>
            <w:r w:rsidRPr="008133C6">
              <w:rPr>
                <w:szCs w:val="16"/>
              </w:rPr>
              <w:t>Market Participant Role Code</w:t>
            </w:r>
            <w:r>
              <w:rPr>
                <w:szCs w:val="16"/>
              </w:rPr>
              <w:t xml:space="preserve"> (J0001) Data Item from </w:t>
            </w:r>
            <w:proofErr w:type="gramStart"/>
            <w:r>
              <w:rPr>
                <w:szCs w:val="16"/>
              </w:rPr>
              <w:t>Char(</w:t>
            </w:r>
            <w:proofErr w:type="gramEnd"/>
            <w:r>
              <w:rPr>
                <w:szCs w:val="16"/>
              </w:rPr>
              <w:t>1) to Char(2) in the REC’s Energy Market Design Specification (EMDS).</w:t>
            </w:r>
          </w:p>
          <w:p w14:paraId="0EA99C14" w14:textId="77777777" w:rsidR="007670C9" w:rsidRDefault="007670C9" w:rsidP="007670C9">
            <w:pPr>
              <w:pStyle w:val="MHHSBody"/>
              <w:spacing w:before="120" w:line="0" w:lineRule="atLeast"/>
              <w:rPr>
                <w:szCs w:val="16"/>
              </w:rPr>
            </w:pPr>
            <w:r>
              <w:rPr>
                <w:szCs w:val="16"/>
              </w:rPr>
              <w:t>CP1589 would impact:</w:t>
            </w:r>
          </w:p>
          <w:p w14:paraId="1BD551EE" w14:textId="77777777" w:rsidR="007670C9" w:rsidRDefault="007670C9" w:rsidP="007670C9">
            <w:pPr>
              <w:pStyle w:val="MHHSBody"/>
              <w:numPr>
                <w:ilvl w:val="0"/>
                <w:numId w:val="33"/>
              </w:numPr>
              <w:spacing w:before="120" w:line="0" w:lineRule="atLeast"/>
              <w:rPr>
                <w:szCs w:val="16"/>
              </w:rPr>
            </w:pPr>
            <w:r>
              <w:rPr>
                <w:szCs w:val="16"/>
              </w:rPr>
              <w:t>BSC Parties that use one or more of the Market Messages that include the J0001:</w:t>
            </w:r>
          </w:p>
          <w:p w14:paraId="61B4E6CF" w14:textId="77777777" w:rsidR="007670C9" w:rsidRDefault="007670C9" w:rsidP="007670C9">
            <w:pPr>
              <w:pStyle w:val="MHHSBody"/>
              <w:numPr>
                <w:ilvl w:val="0"/>
                <w:numId w:val="34"/>
              </w:numPr>
              <w:spacing w:before="60" w:after="60" w:line="0" w:lineRule="atLeast"/>
              <w:ind w:left="1169" w:hanging="284"/>
              <w:rPr>
                <w:szCs w:val="16"/>
              </w:rPr>
            </w:pPr>
            <w:r>
              <w:rPr>
                <w:szCs w:val="16"/>
              </w:rPr>
              <w:t>D0269 ‘MDD Full Refresh’</w:t>
            </w:r>
          </w:p>
          <w:p w14:paraId="74077ABF" w14:textId="77777777" w:rsidR="007670C9" w:rsidRDefault="007670C9" w:rsidP="007670C9">
            <w:pPr>
              <w:pStyle w:val="MHHSBody"/>
              <w:numPr>
                <w:ilvl w:val="0"/>
                <w:numId w:val="34"/>
              </w:numPr>
              <w:spacing w:before="60" w:after="60" w:line="0" w:lineRule="atLeast"/>
              <w:ind w:left="1169" w:hanging="284"/>
              <w:rPr>
                <w:szCs w:val="16"/>
              </w:rPr>
            </w:pPr>
            <w:r>
              <w:rPr>
                <w:szCs w:val="16"/>
              </w:rPr>
              <w:t>D0270 ‘MDD Partial Refresh’</w:t>
            </w:r>
          </w:p>
          <w:p w14:paraId="5DFCF2A3" w14:textId="77777777" w:rsidR="007670C9" w:rsidRDefault="007670C9" w:rsidP="007670C9">
            <w:pPr>
              <w:pStyle w:val="MHHSBody"/>
              <w:numPr>
                <w:ilvl w:val="0"/>
                <w:numId w:val="34"/>
              </w:numPr>
              <w:spacing w:before="60" w:after="60" w:line="0" w:lineRule="atLeast"/>
              <w:ind w:left="1169" w:hanging="284"/>
              <w:rPr>
                <w:szCs w:val="16"/>
              </w:rPr>
            </w:pPr>
            <w:r>
              <w:rPr>
                <w:szCs w:val="16"/>
              </w:rPr>
              <w:t>D0383 ‘</w:t>
            </w:r>
            <w:r w:rsidRPr="003C28C6">
              <w:rPr>
                <w:szCs w:val="16"/>
              </w:rPr>
              <w:t>Notification of Commissioning Information</w:t>
            </w:r>
            <w:r>
              <w:rPr>
                <w:szCs w:val="16"/>
              </w:rPr>
              <w:t>’</w:t>
            </w:r>
          </w:p>
          <w:p w14:paraId="4BF53DCB" w14:textId="77777777" w:rsidR="007670C9" w:rsidRDefault="007670C9" w:rsidP="007670C9">
            <w:pPr>
              <w:pStyle w:val="MHHSBody"/>
              <w:numPr>
                <w:ilvl w:val="0"/>
                <w:numId w:val="34"/>
              </w:numPr>
              <w:spacing w:before="60" w:after="60" w:line="0" w:lineRule="atLeast"/>
              <w:ind w:left="1169" w:hanging="284"/>
              <w:rPr>
                <w:szCs w:val="16"/>
              </w:rPr>
            </w:pPr>
            <w:r w:rsidRPr="003C28C6">
              <w:rPr>
                <w:szCs w:val="16"/>
              </w:rPr>
              <w:t>D0331 Update Green Deal Market Data</w:t>
            </w:r>
          </w:p>
          <w:p w14:paraId="1A5061C6" w14:textId="77777777" w:rsidR="007670C9" w:rsidRDefault="007670C9" w:rsidP="007670C9">
            <w:pPr>
              <w:pStyle w:val="MHHSBody"/>
              <w:numPr>
                <w:ilvl w:val="0"/>
                <w:numId w:val="33"/>
              </w:numPr>
              <w:spacing w:before="120" w:line="0" w:lineRule="atLeast"/>
              <w:rPr>
                <w:szCs w:val="16"/>
              </w:rPr>
            </w:pPr>
            <w:r>
              <w:rPr>
                <w:szCs w:val="16"/>
              </w:rPr>
              <w:t>MDD Management System</w:t>
            </w:r>
          </w:p>
          <w:p w14:paraId="18C3B848" w14:textId="77777777" w:rsidR="007670C9" w:rsidRDefault="007670C9" w:rsidP="007670C9">
            <w:pPr>
              <w:pStyle w:val="MHHSBody"/>
              <w:numPr>
                <w:ilvl w:val="0"/>
                <w:numId w:val="33"/>
              </w:numPr>
              <w:spacing w:before="120" w:line="0" w:lineRule="atLeast"/>
              <w:rPr>
                <w:szCs w:val="16"/>
              </w:rPr>
            </w:pPr>
            <w:r>
              <w:rPr>
                <w:szCs w:val="16"/>
              </w:rPr>
              <w:t>BSCP509 (MDD) Appendices 1 &amp; 2</w:t>
            </w:r>
          </w:p>
          <w:p w14:paraId="27816358" w14:textId="77777777" w:rsidR="007670C9" w:rsidRDefault="007670C9" w:rsidP="007670C9">
            <w:pPr>
              <w:pStyle w:val="MHHSBody"/>
              <w:numPr>
                <w:ilvl w:val="0"/>
                <w:numId w:val="33"/>
              </w:numPr>
              <w:spacing w:before="120" w:line="0" w:lineRule="atLeast"/>
              <w:rPr>
                <w:szCs w:val="16"/>
              </w:rPr>
            </w:pPr>
            <w:r>
              <w:rPr>
                <w:szCs w:val="16"/>
              </w:rPr>
              <w:t>SVA Data Catalogue Volume 2: Data Items</w:t>
            </w:r>
          </w:p>
          <w:p w14:paraId="29CD01DC" w14:textId="77777777" w:rsidR="007670C9" w:rsidRPr="00E5081A" w:rsidRDefault="007670C9" w:rsidP="007670C9">
            <w:pPr>
              <w:pStyle w:val="ListParagraph"/>
              <w:numPr>
                <w:ilvl w:val="0"/>
                <w:numId w:val="33"/>
              </w:numPr>
              <w:rPr>
                <w:rFonts w:asciiTheme="minorHAnsi" w:eastAsiaTheme="minorHAnsi" w:hAnsiTheme="minorHAnsi" w:cstheme="minorBidi"/>
                <w:szCs w:val="16"/>
              </w:rPr>
            </w:pPr>
            <w:r w:rsidRPr="00E5081A">
              <w:rPr>
                <w:rFonts w:asciiTheme="minorHAnsi" w:eastAsiaTheme="minorHAnsi" w:hAnsiTheme="minorHAnsi" w:cstheme="minorBidi"/>
                <w:szCs w:val="16"/>
              </w:rPr>
              <w:t xml:space="preserve">REC EMDS </w:t>
            </w:r>
          </w:p>
          <w:p w14:paraId="38CD1510" w14:textId="77777777" w:rsidR="007670C9" w:rsidRDefault="007670C9" w:rsidP="007670C9">
            <w:pPr>
              <w:pStyle w:val="MHHSBody"/>
              <w:numPr>
                <w:ilvl w:val="0"/>
                <w:numId w:val="33"/>
              </w:numPr>
              <w:spacing w:before="120" w:line="0" w:lineRule="atLeast"/>
              <w:rPr>
                <w:szCs w:val="16"/>
              </w:rPr>
            </w:pPr>
            <w:r w:rsidRPr="00E5081A">
              <w:rPr>
                <w:szCs w:val="16"/>
              </w:rPr>
              <w:t>Data Transfer Network</w:t>
            </w:r>
            <w:r>
              <w:rPr>
                <w:szCs w:val="16"/>
              </w:rPr>
              <w:t xml:space="preserve"> (DTN)</w:t>
            </w:r>
            <w:r w:rsidRPr="00E5081A">
              <w:rPr>
                <w:szCs w:val="16"/>
              </w:rPr>
              <w:t xml:space="preserve"> </w:t>
            </w:r>
            <w:r>
              <w:rPr>
                <w:szCs w:val="16"/>
              </w:rPr>
              <w:t>u</w:t>
            </w:r>
            <w:r w:rsidRPr="00E5081A">
              <w:rPr>
                <w:szCs w:val="16"/>
              </w:rPr>
              <w:t>sers</w:t>
            </w:r>
            <w:r>
              <w:rPr>
                <w:szCs w:val="16"/>
              </w:rPr>
              <w:t xml:space="preserve"> that use the Fixed File Format would need to change their systems for CP1589 implementation</w:t>
            </w:r>
            <w:r w:rsidRPr="00E5081A">
              <w:rPr>
                <w:szCs w:val="16"/>
              </w:rPr>
              <w:t>, as the Market Participant Role Code is used to specify the Sender and the Recipient of the data flow in the file headers.</w:t>
            </w:r>
            <w:r>
              <w:rPr>
                <w:szCs w:val="16"/>
              </w:rPr>
              <w:t xml:space="preserve"> Note that other DTN users would not need to change their systems until the first two-character Role Code to be sent or received by them was introduced.</w:t>
            </w:r>
          </w:p>
          <w:p w14:paraId="2EADCCDF" w14:textId="77777777" w:rsidR="007670C9" w:rsidRDefault="007670C9" w:rsidP="00DC68A9">
            <w:pPr>
              <w:pStyle w:val="MHHSBody"/>
              <w:spacing w:before="120" w:after="0" w:line="0" w:lineRule="atLeast"/>
              <w:rPr>
                <w:szCs w:val="16"/>
              </w:rPr>
            </w:pPr>
            <w:r>
              <w:rPr>
                <w:szCs w:val="16"/>
              </w:rPr>
              <w:t xml:space="preserve">The CP1589 industry consultation closes on 15 December and </w:t>
            </w:r>
            <w:proofErr w:type="spellStart"/>
            <w:r>
              <w:rPr>
                <w:szCs w:val="16"/>
              </w:rPr>
              <w:t>BSCCo</w:t>
            </w:r>
            <w:proofErr w:type="spellEnd"/>
            <w:r>
              <w:rPr>
                <w:szCs w:val="16"/>
              </w:rPr>
              <w:t xml:space="preserve"> will assess all responses before selecting the best option to present to the Supplier Volume Allocation Group for approval. </w:t>
            </w:r>
          </w:p>
          <w:p w14:paraId="5C995A7B" w14:textId="77777777" w:rsidR="007670C9" w:rsidRDefault="007670C9" w:rsidP="00DC68A9">
            <w:pPr>
              <w:pStyle w:val="MHHSBody"/>
              <w:spacing w:before="120" w:after="0" w:line="0" w:lineRule="atLeast"/>
              <w:rPr>
                <w:szCs w:val="16"/>
              </w:rPr>
            </w:pPr>
            <w:r>
              <w:rPr>
                <w:szCs w:val="16"/>
              </w:rPr>
              <w:t xml:space="preserve">If CP1589 is approved, it will impact the </w:t>
            </w:r>
            <w:r w:rsidRPr="00C86C28">
              <w:rPr>
                <w:b/>
                <w:szCs w:val="16"/>
              </w:rPr>
              <w:t>MHHS Programme</w:t>
            </w:r>
            <w:r>
              <w:rPr>
                <w:szCs w:val="16"/>
              </w:rPr>
              <w:t xml:space="preserve"> </w:t>
            </w:r>
            <w:r w:rsidR="00C86C28" w:rsidRPr="00C86C28">
              <w:rPr>
                <w:b/>
                <w:szCs w:val="16"/>
              </w:rPr>
              <w:t>ISD Method Statement</w:t>
            </w:r>
            <w:r>
              <w:rPr>
                <w:szCs w:val="16"/>
              </w:rPr>
              <w:t xml:space="preserve"> and the </w:t>
            </w:r>
            <w:r w:rsidRPr="00C86C28">
              <w:rPr>
                <w:b/>
                <w:szCs w:val="16"/>
              </w:rPr>
              <w:t>Helix Programme</w:t>
            </w:r>
            <w:r w:rsidR="00C86C28">
              <w:rPr>
                <w:b/>
                <w:szCs w:val="16"/>
              </w:rPr>
              <w:t xml:space="preserve"> Work Package 3</w:t>
            </w:r>
            <w:r>
              <w:rPr>
                <w:szCs w:val="16"/>
              </w:rPr>
              <w:t xml:space="preserve">: </w:t>
            </w:r>
          </w:p>
          <w:p w14:paraId="023107DD" w14:textId="77777777" w:rsidR="007670C9" w:rsidRPr="007670C9" w:rsidRDefault="007670C9" w:rsidP="007670C9">
            <w:pPr>
              <w:pStyle w:val="MHHSBody"/>
              <w:numPr>
                <w:ilvl w:val="0"/>
                <w:numId w:val="33"/>
              </w:numPr>
              <w:spacing w:before="120" w:line="0" w:lineRule="atLeast"/>
              <w:rPr>
                <w:szCs w:val="16"/>
              </w:rPr>
            </w:pPr>
            <w:r w:rsidRPr="007670C9">
              <w:rPr>
                <w:szCs w:val="16"/>
              </w:rPr>
              <w:t xml:space="preserve">ISD as the Market Participant Role Code is defined ISD Entity Id 21 ‘Role Code’ </w:t>
            </w:r>
            <w:proofErr w:type="gramStart"/>
            <w:r w:rsidRPr="007670C9">
              <w:rPr>
                <w:szCs w:val="16"/>
              </w:rPr>
              <w:t>and  is</w:t>
            </w:r>
            <w:proofErr w:type="gramEnd"/>
            <w:r w:rsidRPr="007670C9">
              <w:rPr>
                <w:szCs w:val="16"/>
              </w:rPr>
              <w:t xml:space="preserve"> used in several other ISD Entities</w:t>
            </w:r>
            <w:r w:rsidR="00C86C28">
              <w:rPr>
                <w:szCs w:val="16"/>
              </w:rPr>
              <w:t>;</w:t>
            </w:r>
          </w:p>
          <w:p w14:paraId="2E076155" w14:textId="77777777" w:rsidR="007670C9" w:rsidRPr="007670C9" w:rsidRDefault="007670C9" w:rsidP="007670C9">
            <w:pPr>
              <w:pStyle w:val="MHHSBody"/>
              <w:numPr>
                <w:ilvl w:val="0"/>
                <w:numId w:val="33"/>
              </w:numPr>
              <w:spacing w:before="120" w:line="0" w:lineRule="atLeast"/>
              <w:rPr>
                <w:szCs w:val="16"/>
              </w:rPr>
            </w:pPr>
            <w:r w:rsidRPr="007670C9">
              <w:rPr>
                <w:szCs w:val="16"/>
              </w:rPr>
              <w:t>ISD Management System</w:t>
            </w:r>
            <w:r w:rsidR="00C86C28">
              <w:rPr>
                <w:szCs w:val="16"/>
              </w:rPr>
              <w:t>; and</w:t>
            </w:r>
          </w:p>
          <w:p w14:paraId="6C2DCE9F" w14:textId="77777777" w:rsidR="00D07618" w:rsidRDefault="007670C9" w:rsidP="00B51631">
            <w:pPr>
              <w:pStyle w:val="MHHSBody"/>
              <w:numPr>
                <w:ilvl w:val="0"/>
                <w:numId w:val="33"/>
              </w:numPr>
              <w:spacing w:before="120" w:line="0" w:lineRule="atLeast"/>
              <w:rPr>
                <w:szCs w:val="16"/>
              </w:rPr>
            </w:pPr>
            <w:r w:rsidRPr="007670C9">
              <w:rPr>
                <w:szCs w:val="16"/>
              </w:rPr>
              <w:t>BSCP707 (ISDD) Appendices 1 &amp; 2</w:t>
            </w:r>
            <w:r w:rsidR="00C86C28">
              <w:rPr>
                <w:szCs w:val="16"/>
              </w:rPr>
              <w:t>.</w:t>
            </w:r>
          </w:p>
          <w:p w14:paraId="345CAB50" w14:textId="77777777" w:rsidR="00C86C28" w:rsidRPr="007670C9" w:rsidRDefault="00C86C28" w:rsidP="00C86C28">
            <w:pPr>
              <w:pStyle w:val="MHHSBody"/>
              <w:spacing w:before="120" w:line="0" w:lineRule="atLeast"/>
              <w:ind w:left="720"/>
              <w:rPr>
                <w:szCs w:val="16"/>
              </w:rPr>
            </w:pPr>
          </w:p>
        </w:tc>
      </w:tr>
      <w:tr w:rsidR="009D5B37" w14:paraId="2427170E" w14:textId="77777777" w:rsidTr="2175A205">
        <w:trPr>
          <w:trHeight w:val="1515"/>
        </w:trPr>
        <w:tc>
          <w:tcPr>
            <w:tcW w:w="10680" w:type="dxa"/>
            <w:gridSpan w:val="2"/>
            <w:vAlign w:val="top"/>
          </w:tcPr>
          <w:p w14:paraId="3F50ACB6" w14:textId="77777777"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4FE92F8" w14:textId="77777777"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0558E733" w14:textId="77777777" w:rsidR="00502A2D" w:rsidRDefault="00DB300F">
            <w:pPr>
              <w:pStyle w:val="MHHSBody"/>
              <w:rPr>
                <w:rFonts w:ascii="Arial" w:hAnsi="Arial" w:cs="Arial"/>
                <w:color w:val="221F1F"/>
                <w:szCs w:val="20"/>
                <w:shd w:val="clear" w:color="auto" w:fill="FFFFFF"/>
              </w:rPr>
            </w:pPr>
            <w:r w:rsidRPr="00DB300F">
              <w:rPr>
                <w:rFonts w:ascii="Arial" w:hAnsi="Arial" w:cs="Arial"/>
                <w:color w:val="221F1F"/>
                <w:szCs w:val="20"/>
                <w:shd w:val="clear" w:color="auto" w:fill="FFFFFF"/>
              </w:rPr>
              <w:t xml:space="preserve">The implementation of </w:t>
            </w:r>
            <w:r w:rsidR="00E04A01">
              <w:rPr>
                <w:rFonts w:ascii="Arial" w:hAnsi="Arial" w:cs="Arial"/>
                <w:color w:val="221F1F"/>
                <w:szCs w:val="20"/>
                <w:shd w:val="clear" w:color="auto" w:fill="FFFFFF"/>
              </w:rPr>
              <w:t xml:space="preserve">a solution to </w:t>
            </w:r>
            <w:r w:rsidR="003D3B61">
              <w:rPr>
                <w:rFonts w:ascii="Arial" w:hAnsi="Arial" w:cs="Arial"/>
                <w:color w:val="221F1F"/>
                <w:szCs w:val="20"/>
                <w:shd w:val="clear" w:color="auto" w:fill="FFFFFF"/>
              </w:rPr>
              <w:t>CP1589</w:t>
            </w:r>
            <w:r w:rsidR="00502A2D">
              <w:rPr>
                <w:rFonts w:ascii="Arial" w:hAnsi="Arial" w:cs="Arial"/>
                <w:color w:val="221F1F"/>
                <w:szCs w:val="20"/>
                <w:shd w:val="clear" w:color="auto" w:fill="FFFFFF"/>
              </w:rPr>
              <w:t xml:space="preserve"> that will make sufficient new Market Participant Role Codes</w:t>
            </w:r>
            <w:r w:rsidRPr="00DB300F">
              <w:rPr>
                <w:rFonts w:ascii="Arial" w:hAnsi="Arial" w:cs="Arial"/>
                <w:color w:val="221F1F"/>
                <w:szCs w:val="20"/>
                <w:shd w:val="clear" w:color="auto" w:fill="FFFFFF"/>
              </w:rPr>
              <w:t xml:space="preserve"> </w:t>
            </w:r>
            <w:r w:rsidR="00502A2D">
              <w:rPr>
                <w:rFonts w:ascii="Arial" w:hAnsi="Arial" w:cs="Arial"/>
                <w:color w:val="221F1F"/>
                <w:szCs w:val="20"/>
                <w:shd w:val="clear" w:color="auto" w:fill="FFFFFF"/>
              </w:rPr>
              <w:t xml:space="preserve">available to </w:t>
            </w:r>
            <w:proofErr w:type="spellStart"/>
            <w:r w:rsidR="00502A2D">
              <w:rPr>
                <w:rFonts w:ascii="Arial" w:hAnsi="Arial" w:cs="Arial"/>
                <w:color w:val="221F1F"/>
                <w:szCs w:val="20"/>
                <w:shd w:val="clear" w:color="auto" w:fill="FFFFFF"/>
              </w:rPr>
              <w:t>BSCCo</w:t>
            </w:r>
            <w:proofErr w:type="spellEnd"/>
            <w:r w:rsidR="00502A2D">
              <w:rPr>
                <w:rFonts w:ascii="Arial" w:hAnsi="Arial" w:cs="Arial"/>
                <w:color w:val="221F1F"/>
                <w:szCs w:val="20"/>
                <w:shd w:val="clear" w:color="auto" w:fill="FFFFFF"/>
              </w:rPr>
              <w:t xml:space="preserve"> </w:t>
            </w:r>
            <w:r w:rsidRPr="00DB300F">
              <w:rPr>
                <w:rFonts w:ascii="Arial" w:hAnsi="Arial" w:cs="Arial"/>
                <w:color w:val="221F1F"/>
                <w:szCs w:val="20"/>
                <w:shd w:val="clear" w:color="auto" w:fill="FFFFFF"/>
              </w:rPr>
              <w:t>is critical to maintaining the market’s adaptability and the seamless introduction of new participants and processes.</w:t>
            </w:r>
            <w:r w:rsidR="00F531AA">
              <w:rPr>
                <w:rFonts w:ascii="Arial" w:hAnsi="Arial" w:cs="Arial"/>
                <w:color w:val="221F1F"/>
                <w:szCs w:val="20"/>
                <w:shd w:val="clear" w:color="auto" w:fill="FFFFFF"/>
              </w:rPr>
              <w:t xml:space="preserve"> </w:t>
            </w:r>
          </w:p>
          <w:p w14:paraId="3EAA3E5C" w14:textId="77777777" w:rsidR="00D07618" w:rsidRPr="00C86C28" w:rsidRDefault="001A6CC0">
            <w:pPr>
              <w:pStyle w:val="MHHSBody"/>
              <w:rPr>
                <w:rFonts w:ascii="Arial" w:hAnsi="Arial" w:cs="Arial"/>
                <w:color w:val="221F1F"/>
                <w:szCs w:val="20"/>
                <w:shd w:val="clear" w:color="auto" w:fill="FFFFFF"/>
              </w:rPr>
            </w:pPr>
            <w:r>
              <w:rPr>
                <w:rFonts w:ascii="Arial" w:hAnsi="Arial" w:cs="Arial"/>
                <w:color w:val="221F1F"/>
                <w:szCs w:val="20"/>
                <w:shd w:val="clear" w:color="auto" w:fill="FFFFFF"/>
              </w:rPr>
              <w:t>I</w:t>
            </w:r>
            <w:r w:rsidR="00502A2D">
              <w:rPr>
                <w:rFonts w:ascii="Arial" w:hAnsi="Arial" w:cs="Arial"/>
                <w:color w:val="221F1F"/>
                <w:szCs w:val="20"/>
                <w:shd w:val="clear" w:color="auto" w:fill="FFFFFF"/>
              </w:rPr>
              <w:t>f CP1589 is approved, it</w:t>
            </w:r>
            <w:r>
              <w:rPr>
                <w:rFonts w:ascii="Arial" w:hAnsi="Arial" w:cs="Arial"/>
                <w:color w:val="221F1F"/>
                <w:szCs w:val="20"/>
                <w:shd w:val="clear" w:color="auto" w:fill="FFFFFF"/>
              </w:rPr>
              <w:t xml:space="preserve"> is </w:t>
            </w:r>
            <w:r w:rsidR="00502A2D">
              <w:rPr>
                <w:rFonts w:ascii="Arial" w:hAnsi="Arial" w:cs="Arial"/>
                <w:color w:val="221F1F"/>
                <w:szCs w:val="20"/>
                <w:shd w:val="clear" w:color="auto" w:fill="FFFFFF"/>
              </w:rPr>
              <w:t xml:space="preserve">essential </w:t>
            </w:r>
            <w:r>
              <w:rPr>
                <w:rFonts w:ascii="Arial" w:hAnsi="Arial" w:cs="Arial"/>
                <w:color w:val="221F1F"/>
                <w:szCs w:val="20"/>
                <w:shd w:val="clear" w:color="auto" w:fill="FFFFFF"/>
              </w:rPr>
              <w:t xml:space="preserve">that </w:t>
            </w:r>
            <w:r w:rsidR="00502A2D">
              <w:rPr>
                <w:rFonts w:ascii="Arial" w:hAnsi="Arial" w:cs="Arial"/>
                <w:color w:val="221F1F"/>
                <w:szCs w:val="20"/>
                <w:shd w:val="clear" w:color="auto" w:fill="FFFFFF"/>
              </w:rPr>
              <w:t>the</w:t>
            </w:r>
            <w:r>
              <w:rPr>
                <w:rFonts w:ascii="Arial" w:hAnsi="Arial" w:cs="Arial"/>
                <w:color w:val="221F1F"/>
                <w:szCs w:val="20"/>
                <w:shd w:val="clear" w:color="auto" w:fill="FFFFFF"/>
              </w:rPr>
              <w:t xml:space="preserve"> changes to the legacy arrangements are also made to the new MHHS arrangements</w:t>
            </w:r>
            <w:r w:rsidR="00502A2D">
              <w:rPr>
                <w:rFonts w:ascii="Arial" w:hAnsi="Arial" w:cs="Arial"/>
                <w:color w:val="221F1F"/>
                <w:szCs w:val="20"/>
                <w:shd w:val="clear" w:color="auto" w:fill="FFFFFF"/>
              </w:rPr>
              <w:t xml:space="preserve">, </w:t>
            </w:r>
            <w:r w:rsidR="00C57EAE">
              <w:rPr>
                <w:rFonts w:ascii="Arial" w:hAnsi="Arial" w:cs="Arial"/>
                <w:color w:val="221F1F"/>
                <w:szCs w:val="20"/>
                <w:shd w:val="clear" w:color="auto" w:fill="FFFFFF"/>
              </w:rPr>
              <w:t xml:space="preserve">to ensure the continuity of the BSC Arrangements at the start of the Transition Period.  </w:t>
            </w:r>
          </w:p>
        </w:tc>
      </w:tr>
      <w:tr w:rsidR="009D5B37" w14:paraId="2D1A84BC" w14:textId="77777777" w:rsidTr="2175A205">
        <w:trPr>
          <w:trHeight w:val="1515"/>
        </w:trPr>
        <w:tc>
          <w:tcPr>
            <w:tcW w:w="10680" w:type="dxa"/>
            <w:gridSpan w:val="2"/>
            <w:vAlign w:val="top"/>
          </w:tcPr>
          <w:p w14:paraId="0AAC4071" w14:textId="77777777" w:rsidR="009D5B37" w:rsidRPr="00960D82" w:rsidRDefault="00D07618" w:rsidP="00BA4845">
            <w:pPr>
              <w:pStyle w:val="MHHSBody"/>
              <w:spacing w:after="20" w:line="0" w:lineRule="atLeast"/>
              <w:rPr>
                <w:b/>
                <w:bCs/>
              </w:rPr>
            </w:pPr>
            <w:r w:rsidRPr="00960D82">
              <w:rPr>
                <w:b/>
                <w:bCs/>
              </w:rPr>
              <w:lastRenderedPageBreak/>
              <w:t>Consequences of no change</w:t>
            </w:r>
            <w:r w:rsidR="0058313A" w:rsidRPr="00960D82">
              <w:rPr>
                <w:b/>
                <w:bCs/>
              </w:rPr>
              <w:t>:</w:t>
            </w:r>
          </w:p>
          <w:p w14:paraId="0D30E60D" w14:textId="77777777"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27F640A3" w14:textId="77777777" w:rsidR="00D07618" w:rsidRPr="00960D82" w:rsidRDefault="00596C8A" w:rsidP="00C57EAE">
            <w:pPr>
              <w:pStyle w:val="MHHSBody"/>
            </w:pPr>
            <w:r>
              <w:rPr>
                <w:rFonts w:ascii="Arial" w:hAnsi="Arial" w:cs="Arial"/>
                <w:color w:val="221F1F"/>
                <w:szCs w:val="20"/>
                <w:shd w:val="clear" w:color="auto" w:fill="FFFFFF"/>
              </w:rPr>
              <w:t xml:space="preserve">If </w:t>
            </w:r>
            <w:r w:rsidR="00C57EAE">
              <w:rPr>
                <w:rFonts w:ascii="Arial" w:hAnsi="Arial" w:cs="Arial"/>
                <w:color w:val="221F1F"/>
                <w:szCs w:val="20"/>
                <w:shd w:val="clear" w:color="auto" w:fill="FFFFFF"/>
              </w:rPr>
              <w:t>the new MHHS arrangements are</w:t>
            </w:r>
            <w:r>
              <w:rPr>
                <w:rFonts w:ascii="Arial" w:hAnsi="Arial" w:cs="Arial"/>
                <w:color w:val="221F1F"/>
                <w:szCs w:val="20"/>
                <w:shd w:val="clear" w:color="auto" w:fill="FFFFFF"/>
              </w:rPr>
              <w:t xml:space="preserve"> not amended to </w:t>
            </w:r>
            <w:r w:rsidR="00E04A01">
              <w:rPr>
                <w:rFonts w:ascii="Arial" w:hAnsi="Arial" w:cs="Arial"/>
                <w:color w:val="221F1F"/>
                <w:szCs w:val="20"/>
                <w:shd w:val="clear" w:color="auto" w:fill="FFFFFF"/>
              </w:rPr>
              <w:t>take the solution to</w:t>
            </w:r>
            <w:r>
              <w:rPr>
                <w:rFonts w:ascii="Arial" w:hAnsi="Arial" w:cs="Arial"/>
                <w:color w:val="221F1F"/>
                <w:szCs w:val="20"/>
                <w:shd w:val="clear" w:color="auto" w:fill="FFFFFF"/>
              </w:rPr>
              <w:t xml:space="preserve"> CP1589 </w:t>
            </w:r>
            <w:r w:rsidR="00E04A01">
              <w:rPr>
                <w:rFonts w:ascii="Arial" w:hAnsi="Arial" w:cs="Arial"/>
                <w:color w:val="221F1F"/>
                <w:szCs w:val="20"/>
                <w:shd w:val="clear" w:color="auto" w:fill="FFFFFF"/>
              </w:rPr>
              <w:t xml:space="preserve">into account, then the </w:t>
            </w:r>
            <w:r>
              <w:rPr>
                <w:rFonts w:ascii="Arial" w:hAnsi="Arial" w:cs="Arial"/>
                <w:color w:val="221F1F"/>
                <w:szCs w:val="20"/>
                <w:shd w:val="clear" w:color="auto" w:fill="FFFFFF"/>
              </w:rPr>
              <w:t xml:space="preserve">changes </w:t>
            </w:r>
            <w:r w:rsidR="00E04A01">
              <w:rPr>
                <w:rFonts w:ascii="Arial" w:hAnsi="Arial" w:cs="Arial"/>
                <w:color w:val="221F1F"/>
                <w:szCs w:val="20"/>
                <w:shd w:val="clear" w:color="auto" w:fill="FFFFFF"/>
              </w:rPr>
              <w:t>implemented i</w:t>
            </w:r>
            <w:r w:rsidR="00241E4C">
              <w:rPr>
                <w:rFonts w:ascii="Arial" w:hAnsi="Arial" w:cs="Arial"/>
                <w:color w:val="221F1F"/>
                <w:szCs w:val="20"/>
                <w:shd w:val="clear" w:color="auto" w:fill="FFFFFF"/>
              </w:rPr>
              <w:t>n</w:t>
            </w:r>
            <w:r w:rsidR="00E04A01">
              <w:rPr>
                <w:rFonts w:ascii="Arial" w:hAnsi="Arial" w:cs="Arial"/>
                <w:color w:val="221F1F"/>
                <w:szCs w:val="20"/>
                <w:shd w:val="clear" w:color="auto" w:fill="FFFFFF"/>
              </w:rPr>
              <w:t xml:space="preserve">to Production prior to the start of the Transition Period </w:t>
            </w:r>
            <w:r>
              <w:rPr>
                <w:rFonts w:ascii="Arial" w:hAnsi="Arial" w:cs="Arial"/>
                <w:color w:val="221F1F"/>
                <w:szCs w:val="20"/>
                <w:shd w:val="clear" w:color="auto" w:fill="FFFFFF"/>
              </w:rPr>
              <w:t xml:space="preserve">would be </w:t>
            </w:r>
            <w:r w:rsidR="00E04A01">
              <w:rPr>
                <w:rFonts w:ascii="Arial" w:hAnsi="Arial" w:cs="Arial"/>
                <w:color w:val="221F1F"/>
                <w:szCs w:val="20"/>
                <w:shd w:val="clear" w:color="auto" w:fill="FFFFFF"/>
              </w:rPr>
              <w:t>backed out</w:t>
            </w:r>
            <w:r>
              <w:rPr>
                <w:rFonts w:ascii="Arial" w:hAnsi="Arial" w:cs="Arial"/>
                <w:color w:val="221F1F"/>
                <w:szCs w:val="20"/>
                <w:shd w:val="clear" w:color="auto" w:fill="FFFFFF"/>
              </w:rPr>
              <w:t xml:space="preserve"> by the implementation of the new MHHS systems at the beginning of the Transition Period.</w:t>
            </w:r>
            <w:r w:rsidRPr="00960D82" w:rsidDel="001A7577">
              <w:t xml:space="preserve"> </w:t>
            </w:r>
          </w:p>
        </w:tc>
      </w:tr>
      <w:tr w:rsidR="00672D21" w14:paraId="604BB07F" w14:textId="77777777" w:rsidTr="2175A205">
        <w:trPr>
          <w:trHeight w:val="1515"/>
        </w:trPr>
        <w:tc>
          <w:tcPr>
            <w:tcW w:w="10680" w:type="dxa"/>
            <w:gridSpan w:val="2"/>
            <w:vAlign w:val="top"/>
          </w:tcPr>
          <w:p w14:paraId="6D62D9C4" w14:textId="77777777" w:rsidR="00672D21" w:rsidRPr="00960D82" w:rsidRDefault="00672D21" w:rsidP="00BA4845">
            <w:pPr>
              <w:pStyle w:val="MHHSBody"/>
              <w:spacing w:after="20" w:line="0" w:lineRule="atLeast"/>
              <w:rPr>
                <w:b/>
              </w:rPr>
            </w:pPr>
            <w:r w:rsidRPr="00960D82">
              <w:rPr>
                <w:b/>
              </w:rPr>
              <w:t>Alternative options:</w:t>
            </w:r>
          </w:p>
          <w:p w14:paraId="04491A42" w14:textId="77777777"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03811898" w14:textId="77777777" w:rsidR="00766361" w:rsidRDefault="00241E4C" w:rsidP="00502A2D">
            <w:pPr>
              <w:pStyle w:val="MHHSBody"/>
              <w:spacing w:after="20" w:line="0" w:lineRule="atLeast"/>
              <w:rPr>
                <w:rFonts w:ascii="Arial" w:hAnsi="Arial" w:cs="Arial"/>
                <w:color w:val="221F1F"/>
                <w:szCs w:val="20"/>
                <w:shd w:val="clear" w:color="auto" w:fill="FFFFFF"/>
              </w:rPr>
            </w:pPr>
            <w:r>
              <w:rPr>
                <w:rFonts w:ascii="Arial" w:hAnsi="Arial" w:cs="Arial"/>
                <w:color w:val="221F1F"/>
                <w:szCs w:val="20"/>
                <w:shd w:val="clear" w:color="auto" w:fill="FFFFFF"/>
              </w:rPr>
              <w:t>A respondent has suggested that we could use uppercase and lowercase versions of the same alpha character (</w:t>
            </w:r>
            <w:proofErr w:type="gramStart"/>
            <w:r>
              <w:rPr>
                <w:rFonts w:ascii="Arial" w:hAnsi="Arial" w:cs="Arial"/>
                <w:color w:val="221F1F"/>
                <w:szCs w:val="20"/>
                <w:shd w:val="clear" w:color="auto" w:fill="FFFFFF"/>
              </w:rPr>
              <w:t>e.g.</w:t>
            </w:r>
            <w:proofErr w:type="gramEnd"/>
            <w:r>
              <w:rPr>
                <w:rFonts w:ascii="Arial" w:hAnsi="Arial" w:cs="Arial"/>
                <w:color w:val="221F1F"/>
                <w:szCs w:val="20"/>
                <w:shd w:val="clear" w:color="auto" w:fill="FFFFFF"/>
              </w:rPr>
              <w:t xml:space="preserve"> ‘A’ and ‘a') as different Market Participant Role Codes. </w:t>
            </w:r>
          </w:p>
          <w:p w14:paraId="0A991EB1" w14:textId="77777777" w:rsidR="00766361" w:rsidRDefault="00766361">
            <w:pPr>
              <w:pStyle w:val="MHHSBody"/>
              <w:spacing w:after="20" w:line="0" w:lineRule="atLeast"/>
              <w:rPr>
                <w:rFonts w:ascii="Arial" w:hAnsi="Arial" w:cs="Arial"/>
                <w:color w:val="221F1F"/>
                <w:szCs w:val="20"/>
                <w:shd w:val="clear" w:color="auto" w:fill="FFFFFF"/>
              </w:rPr>
            </w:pPr>
          </w:p>
          <w:p w14:paraId="2F3B2ADE" w14:textId="77777777" w:rsidR="00D94CB0" w:rsidRDefault="00766361">
            <w:pPr>
              <w:pStyle w:val="MHHSBody"/>
              <w:spacing w:after="20" w:line="0" w:lineRule="atLeast"/>
              <w:rPr>
                <w:rFonts w:ascii="Arial" w:hAnsi="Arial" w:cs="Arial"/>
                <w:color w:val="221F1F"/>
                <w:szCs w:val="20"/>
                <w:shd w:val="clear" w:color="auto" w:fill="FFFFFF"/>
              </w:rPr>
            </w:pPr>
            <w:r>
              <w:rPr>
                <w:rFonts w:ascii="Arial" w:hAnsi="Arial" w:cs="Arial"/>
                <w:color w:val="221F1F"/>
                <w:szCs w:val="20"/>
                <w:shd w:val="clear" w:color="auto" w:fill="FFFFFF"/>
              </w:rPr>
              <w:t>From discussions with REC Technical Services</w:t>
            </w:r>
            <w:r w:rsidR="00335A0A">
              <w:rPr>
                <w:rFonts w:ascii="Arial" w:hAnsi="Arial" w:cs="Arial"/>
                <w:color w:val="221F1F"/>
                <w:szCs w:val="20"/>
                <w:shd w:val="clear" w:color="auto" w:fill="FFFFFF"/>
              </w:rPr>
              <w:t xml:space="preserve"> (RTS)</w:t>
            </w:r>
            <w:r>
              <w:rPr>
                <w:rFonts w:ascii="Arial" w:hAnsi="Arial" w:cs="Arial"/>
                <w:color w:val="221F1F"/>
                <w:szCs w:val="20"/>
                <w:shd w:val="clear" w:color="auto" w:fill="FFFFFF"/>
              </w:rPr>
              <w:t xml:space="preserve"> and from initial responses to the CP1589 consultation, </w:t>
            </w:r>
            <w:proofErr w:type="spellStart"/>
            <w:r>
              <w:rPr>
                <w:rFonts w:ascii="Arial" w:hAnsi="Arial" w:cs="Arial"/>
                <w:color w:val="221F1F"/>
                <w:szCs w:val="20"/>
                <w:shd w:val="clear" w:color="auto" w:fill="FFFFFF"/>
              </w:rPr>
              <w:t>BSCCo</w:t>
            </w:r>
            <w:proofErr w:type="spellEnd"/>
            <w:r>
              <w:rPr>
                <w:rFonts w:ascii="Arial" w:hAnsi="Arial" w:cs="Arial"/>
                <w:color w:val="221F1F"/>
                <w:szCs w:val="20"/>
                <w:shd w:val="clear" w:color="auto" w:fill="FFFFFF"/>
              </w:rPr>
              <w:t xml:space="preserve"> believes that the </w:t>
            </w:r>
            <w:proofErr w:type="gramStart"/>
            <w:r>
              <w:rPr>
                <w:rFonts w:ascii="Arial" w:hAnsi="Arial" w:cs="Arial"/>
                <w:color w:val="221F1F"/>
                <w:szCs w:val="20"/>
                <w:shd w:val="clear" w:color="auto" w:fill="FFFFFF"/>
              </w:rPr>
              <w:t>Char(</w:t>
            </w:r>
            <w:proofErr w:type="gramEnd"/>
            <w:r>
              <w:rPr>
                <w:rFonts w:ascii="Arial" w:hAnsi="Arial" w:cs="Arial"/>
                <w:color w:val="221F1F"/>
                <w:szCs w:val="20"/>
                <w:shd w:val="clear" w:color="auto" w:fill="FFFFFF"/>
              </w:rPr>
              <w:t>2) solution will be the preferred solution for the large majority of  the industry.</w:t>
            </w:r>
            <w:r w:rsidR="00DC68A9">
              <w:rPr>
                <w:rFonts w:ascii="Arial" w:hAnsi="Arial" w:cs="Arial"/>
                <w:color w:val="221F1F"/>
                <w:szCs w:val="20"/>
                <w:shd w:val="clear" w:color="auto" w:fill="FFFFFF"/>
              </w:rPr>
              <w:t xml:space="preserve"> Our service provider has told </w:t>
            </w:r>
            <w:proofErr w:type="spellStart"/>
            <w:r w:rsidR="00DC68A9">
              <w:rPr>
                <w:rFonts w:ascii="Arial" w:hAnsi="Arial" w:cs="Arial"/>
                <w:color w:val="221F1F"/>
                <w:szCs w:val="20"/>
                <w:shd w:val="clear" w:color="auto" w:fill="FFFFFF"/>
              </w:rPr>
              <w:t>BSCCo</w:t>
            </w:r>
            <w:proofErr w:type="spellEnd"/>
            <w:r w:rsidR="00DC68A9">
              <w:rPr>
                <w:rFonts w:ascii="Arial" w:hAnsi="Arial" w:cs="Arial"/>
                <w:color w:val="221F1F"/>
                <w:szCs w:val="20"/>
                <w:shd w:val="clear" w:color="auto" w:fill="FFFFFF"/>
              </w:rPr>
              <w:t xml:space="preserve"> that approach is not ‘good practice’.</w:t>
            </w:r>
          </w:p>
          <w:p w14:paraId="0BE853D4" w14:textId="77777777" w:rsidR="00766361" w:rsidRPr="00DC68A9" w:rsidRDefault="00766361">
            <w:pPr>
              <w:pStyle w:val="MHHSBody"/>
              <w:spacing w:after="20" w:line="0" w:lineRule="atLeast"/>
            </w:pPr>
          </w:p>
          <w:p w14:paraId="6AE4A2F0" w14:textId="77777777" w:rsidR="00DC68A9" w:rsidRPr="00960D82" w:rsidRDefault="00DC68A9">
            <w:pPr>
              <w:pStyle w:val="MHHSBody"/>
              <w:spacing w:after="20" w:line="0" w:lineRule="atLeast"/>
              <w:rPr>
                <w:b/>
              </w:rPr>
            </w:pPr>
            <w:proofErr w:type="spellStart"/>
            <w:r w:rsidRPr="00DC68A9">
              <w:t>BSCCo</w:t>
            </w:r>
            <w:proofErr w:type="spellEnd"/>
            <w:r w:rsidRPr="00DC68A9">
              <w:t xml:space="preserve"> does not regard “do nothing” as a viable option.</w:t>
            </w:r>
          </w:p>
        </w:tc>
      </w:tr>
      <w:tr w:rsidR="00672D21" w14:paraId="2730FD92" w14:textId="77777777" w:rsidTr="2175A205">
        <w:trPr>
          <w:trHeight w:val="1515"/>
        </w:trPr>
        <w:tc>
          <w:tcPr>
            <w:tcW w:w="10680" w:type="dxa"/>
            <w:gridSpan w:val="2"/>
            <w:vAlign w:val="top"/>
          </w:tcPr>
          <w:p w14:paraId="52BED3C6"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7DCF3263"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10CCE98B" w14:textId="77777777" w:rsidR="004A7A9D" w:rsidRDefault="00596C8A" w:rsidP="00502A2D">
            <w:pPr>
              <w:pStyle w:val="MHHSBody"/>
              <w:spacing w:after="20" w:line="0" w:lineRule="atLeast"/>
            </w:pPr>
            <w:r>
              <w:t xml:space="preserve">As the new systems being delivered for MHHS by the Helix programme are scheduled for SIT </w:t>
            </w:r>
            <w:r w:rsidR="00C77B5A">
              <w:t xml:space="preserve">Functional Cycle 1 </w:t>
            </w:r>
            <w:r>
              <w:t xml:space="preserve">in early 2024, this would be a late change </w:t>
            </w:r>
            <w:r w:rsidR="00C77B5A">
              <w:t>to the design</w:t>
            </w:r>
            <w:r w:rsidR="004A7A9D">
              <w:t>,</w:t>
            </w:r>
            <w:r w:rsidR="00C77B5A">
              <w:t xml:space="preserve"> which would need to </w:t>
            </w:r>
            <w:proofErr w:type="gramStart"/>
            <w:r w:rsidR="00C77B5A">
              <w:t>tested</w:t>
            </w:r>
            <w:proofErr w:type="gramEnd"/>
            <w:r w:rsidR="00C77B5A">
              <w:t xml:space="preserve"> in a later SIT Cycle</w:t>
            </w:r>
            <w:r w:rsidR="004A7A9D">
              <w:t>. T</w:t>
            </w:r>
            <w:r w:rsidR="00C77B5A">
              <w:t>hi</w:t>
            </w:r>
            <w:r w:rsidR="001A6CC0">
              <w:t>s</w:t>
            </w:r>
            <w:r w:rsidR="00C77B5A">
              <w:t xml:space="preserve"> would add to the risk that SIT </w:t>
            </w:r>
            <w:r w:rsidR="004A7A9D">
              <w:t xml:space="preserve">may </w:t>
            </w:r>
            <w:r w:rsidR="00C77B5A">
              <w:t>not complete on time</w:t>
            </w:r>
            <w:r w:rsidR="004A7A9D">
              <w:t>,</w:t>
            </w:r>
            <w:r w:rsidR="00766361">
              <w:t xml:space="preserve"> </w:t>
            </w:r>
            <w:r w:rsidR="004A7A9D">
              <w:t xml:space="preserve">and </w:t>
            </w:r>
            <w:r w:rsidR="00766361">
              <w:t>so</w:t>
            </w:r>
            <w:r w:rsidR="004A7A9D">
              <w:t xml:space="preserve"> could result in</w:t>
            </w:r>
            <w:r w:rsidR="00766361">
              <w:t xml:space="preserve"> additional work for all participants that may or may not </w:t>
            </w:r>
            <w:r w:rsidR="004A7A9D">
              <w:t>complete</w:t>
            </w:r>
            <w:r w:rsidR="00766361">
              <w:t xml:space="preserve"> in time to test in SIT</w:t>
            </w:r>
            <w:r w:rsidR="00C77B5A">
              <w:t xml:space="preserve">. </w:t>
            </w:r>
            <w:r>
              <w:t xml:space="preserve"> </w:t>
            </w:r>
          </w:p>
          <w:p w14:paraId="20282A6D" w14:textId="77777777" w:rsidR="004A7A9D" w:rsidRDefault="004A7A9D">
            <w:pPr>
              <w:pStyle w:val="MHHSBody"/>
              <w:spacing w:after="20" w:line="0" w:lineRule="atLeast"/>
            </w:pPr>
          </w:p>
          <w:p w14:paraId="3FF06287" w14:textId="77777777" w:rsidR="00D94CB0" w:rsidRDefault="00DC71C8">
            <w:pPr>
              <w:pStyle w:val="MHHSBody"/>
              <w:spacing w:after="20" w:line="0" w:lineRule="atLeast"/>
            </w:pPr>
            <w:r>
              <w:t>Mitigation of this risk would be to test in a later cycle of SIT functional.</w:t>
            </w:r>
          </w:p>
          <w:p w14:paraId="0400A119" w14:textId="77777777" w:rsidR="000D1091" w:rsidRPr="00325B1A" w:rsidRDefault="000D1091" w:rsidP="000D1091">
            <w:pPr>
              <w:pStyle w:val="MHHSBody"/>
              <w:spacing w:after="20" w:line="0" w:lineRule="atLeast"/>
            </w:pPr>
          </w:p>
        </w:tc>
      </w:tr>
      <w:tr w:rsidR="00593C2D" w14:paraId="5E339266" w14:textId="77777777" w:rsidTr="2175A205">
        <w:trPr>
          <w:trHeight w:val="1515"/>
        </w:trPr>
        <w:tc>
          <w:tcPr>
            <w:tcW w:w="10680" w:type="dxa"/>
            <w:gridSpan w:val="2"/>
            <w:vAlign w:val="top"/>
          </w:tcPr>
          <w:p w14:paraId="1D7C9A71"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503D90B4" w14:textId="77777777" w:rsidR="00D94CB0" w:rsidRPr="00960D82" w:rsidRDefault="00D94CB0" w:rsidP="006E2EDD">
            <w:pPr>
              <w:pStyle w:val="MHHSBody"/>
              <w:spacing w:before="120"/>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w:t>
            </w:r>
            <w:r w:rsidR="00241E4C">
              <w:rPr>
                <w:i/>
                <w:iCs/>
                <w:sz w:val="16"/>
                <w:szCs w:val="20"/>
              </w:rPr>
              <w:t xml:space="preserve">ts </w:t>
            </w:r>
            <w:proofErr w:type="spellStart"/>
            <w:r w:rsidR="00925D57" w:rsidRPr="00960D82">
              <w:rPr>
                <w:i/>
                <w:iCs/>
                <w:sz w:val="16"/>
                <w:szCs w:val="20"/>
              </w:rPr>
              <w:t>keholder</w:t>
            </w:r>
            <w:proofErr w:type="spellEnd"/>
            <w:r w:rsidR="00925D57" w:rsidRPr="00960D82">
              <w:rPr>
                <w:i/>
                <w:iCs/>
                <w:sz w:val="16"/>
                <w:szCs w:val="20"/>
              </w:rPr>
              <w:t xml:space="preserve">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64E5374F" w14:textId="77777777" w:rsidR="00335A0A" w:rsidRDefault="006E2EDD" w:rsidP="006E2EDD">
            <w:pPr>
              <w:pStyle w:val="MHHSBody"/>
              <w:spacing w:before="120" w:line="0" w:lineRule="atLeast"/>
            </w:pPr>
            <w:proofErr w:type="spellStart"/>
            <w:r>
              <w:t>BSCCo</w:t>
            </w:r>
            <w:proofErr w:type="spellEnd"/>
            <w:r>
              <w:t xml:space="preserve"> has discussed this change with </w:t>
            </w:r>
            <w:proofErr w:type="spellStart"/>
            <w:r>
              <w:t>Electralink</w:t>
            </w:r>
            <w:proofErr w:type="spellEnd"/>
            <w:r>
              <w:t>, as the Data Transfer Network Service Provider</w:t>
            </w:r>
            <w:r w:rsidR="00335A0A">
              <w:t>, and with the RTS.</w:t>
            </w:r>
          </w:p>
          <w:p w14:paraId="4887BD72" w14:textId="77777777" w:rsidR="006E2EDD" w:rsidRDefault="00335A0A" w:rsidP="006E2EDD">
            <w:pPr>
              <w:pStyle w:val="MHHSBody"/>
              <w:spacing w:before="120" w:line="0" w:lineRule="atLeast"/>
            </w:pPr>
            <w:proofErr w:type="spellStart"/>
            <w:r>
              <w:t>BSCCo</w:t>
            </w:r>
            <w:proofErr w:type="spellEnd"/>
            <w:r>
              <w:t xml:space="preserve"> </w:t>
            </w:r>
            <w:r w:rsidR="006E2EDD">
              <w:t xml:space="preserve">initially raised a REC Change Proposal </w:t>
            </w:r>
            <w:r>
              <w:t xml:space="preserve">that </w:t>
            </w:r>
            <w:r w:rsidR="006E2EDD">
              <w:t xml:space="preserve">was discussed at length with </w:t>
            </w:r>
            <w:proofErr w:type="spellStart"/>
            <w:r w:rsidR="006E2EDD">
              <w:t>RECCo</w:t>
            </w:r>
            <w:proofErr w:type="spellEnd"/>
            <w:r w:rsidR="006E2EDD">
              <w:t xml:space="preserve">, before being withdrawn on </w:t>
            </w:r>
            <w:proofErr w:type="spellStart"/>
            <w:r w:rsidR="006E2EDD">
              <w:t>RECCo’s</w:t>
            </w:r>
            <w:proofErr w:type="spellEnd"/>
            <w:r w:rsidR="006E2EDD">
              <w:t xml:space="preserve"> instruction, as the change does not impact any REC-owned Data Items or Data Flows.</w:t>
            </w:r>
          </w:p>
          <w:p w14:paraId="1A7B9FE6" w14:textId="77777777" w:rsidR="00C77B5A" w:rsidRDefault="006E2EDD" w:rsidP="006E2EDD">
            <w:pPr>
              <w:pStyle w:val="MHHSBody"/>
              <w:spacing w:before="120" w:line="0" w:lineRule="atLeast"/>
            </w:pPr>
            <w:r>
              <w:t>C</w:t>
            </w:r>
            <w:r w:rsidR="00C77B5A">
              <w:t>CP1589</w:t>
            </w:r>
            <w:r w:rsidR="00832C68" w:rsidRPr="00325B1A">
              <w:t xml:space="preserve"> </w:t>
            </w:r>
            <w:r w:rsidR="00C77B5A">
              <w:t>is currently undergoing industry consultation</w:t>
            </w:r>
            <w:r w:rsidR="001A6CC0">
              <w:t xml:space="preserve">, which </w:t>
            </w:r>
            <w:r>
              <w:t>will</w:t>
            </w:r>
            <w:r w:rsidR="001A6CC0">
              <w:t xml:space="preserve"> close on 15 December 2023</w:t>
            </w:r>
            <w:r w:rsidR="00832C68" w:rsidRPr="00325B1A">
              <w:t>.</w:t>
            </w:r>
            <w:r w:rsidR="00C77B5A">
              <w:t xml:space="preserve"> </w:t>
            </w:r>
          </w:p>
          <w:p w14:paraId="13B1FA19" w14:textId="77777777" w:rsidR="006E2EDD" w:rsidRDefault="006E2EDD" w:rsidP="00502A2D">
            <w:pPr>
              <w:pStyle w:val="MHHSBody"/>
              <w:spacing w:before="120" w:line="0" w:lineRule="atLeast"/>
            </w:pPr>
            <w:proofErr w:type="spellStart"/>
            <w:r>
              <w:t>BSCCo</w:t>
            </w:r>
            <w:proofErr w:type="spellEnd"/>
            <w:r>
              <w:t xml:space="preserve"> has also discussed the </w:t>
            </w:r>
            <w:r w:rsidR="00335A0A">
              <w:t>proposed solution</w:t>
            </w:r>
            <w:r>
              <w:t xml:space="preserve"> in detail with Matt McKeon of the MHHS Programme</w:t>
            </w:r>
            <w:r w:rsidR="00757B38">
              <w:t xml:space="preserve">, in the context of CCAG consequential change. </w:t>
            </w:r>
            <w:proofErr w:type="spellStart"/>
            <w:r w:rsidR="00335A0A">
              <w:t>BSCCo</w:t>
            </w:r>
            <w:proofErr w:type="spellEnd"/>
            <w:r w:rsidR="00335A0A">
              <w:t xml:space="preserve"> </w:t>
            </w:r>
            <w:r w:rsidR="00757B38">
              <w:t>understand</w:t>
            </w:r>
            <w:r w:rsidR="00335A0A">
              <w:t>s</w:t>
            </w:r>
            <w:r w:rsidR="00757B38">
              <w:t xml:space="preserve"> that this issue was considered during MHHS Design work-off.</w:t>
            </w:r>
          </w:p>
          <w:p w14:paraId="2DD445C2" w14:textId="77777777" w:rsidR="00335A0A" w:rsidRDefault="00335A0A">
            <w:pPr>
              <w:pStyle w:val="MHHSBody"/>
              <w:spacing w:before="120" w:line="0" w:lineRule="atLeast"/>
            </w:pPr>
            <w:r>
              <w:t xml:space="preserve">The SVG agreed to raise CP1589 and issue it for consultation at its November 2023 </w:t>
            </w:r>
            <w:r w:rsidR="00686BAD">
              <w:t>m</w:t>
            </w:r>
            <w:r>
              <w:t>eeting</w:t>
            </w:r>
            <w:r w:rsidR="00686BAD">
              <w:t xml:space="preserve"> (</w:t>
            </w:r>
            <w:hyperlink r:id="rId12" w:history="1">
              <w:r w:rsidR="00686BAD" w:rsidRPr="00686BAD">
                <w:rPr>
                  <w:rStyle w:val="Hyperlink"/>
                </w:rPr>
                <w:t>SVG273/07).</w:t>
              </w:r>
            </w:hyperlink>
          </w:p>
          <w:p w14:paraId="4384F18D" w14:textId="77777777" w:rsidR="000D1091" w:rsidRPr="00325B1A" w:rsidRDefault="000D1091" w:rsidP="000D1091">
            <w:pPr>
              <w:pStyle w:val="MHHSBody"/>
              <w:spacing w:before="120" w:line="0" w:lineRule="atLeast"/>
            </w:pPr>
          </w:p>
        </w:tc>
      </w:tr>
      <w:tr w:rsidR="00E86758" w14:paraId="1BCE9FF9" w14:textId="77777777" w:rsidTr="2175A205">
        <w:trPr>
          <w:trHeight w:val="615"/>
        </w:trPr>
        <w:tc>
          <w:tcPr>
            <w:tcW w:w="5337" w:type="dxa"/>
          </w:tcPr>
          <w:p w14:paraId="7B844DA2"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1DA3465A" w14:textId="77777777" w:rsidR="00E86758" w:rsidRDefault="000D1091" w:rsidP="00CB0714">
            <w:pPr>
              <w:pStyle w:val="MHHSBody"/>
            </w:pPr>
            <w:r>
              <w:t>February</w:t>
            </w:r>
            <w:r w:rsidR="00B47526">
              <w:t xml:space="preserve"> </w:t>
            </w:r>
            <w:r w:rsidR="00832C68">
              <w:t>2024</w:t>
            </w:r>
          </w:p>
        </w:tc>
      </w:tr>
    </w:tbl>
    <w:p w14:paraId="60DBCC8D" w14:textId="77777777" w:rsidR="00CF52C6" w:rsidRDefault="00CF52C6" w:rsidP="00CB0714">
      <w:pPr>
        <w:pStyle w:val="MHHSBody"/>
      </w:pPr>
    </w:p>
    <w:p w14:paraId="6B4326CB" w14:textId="77777777" w:rsidR="00162CC1" w:rsidRDefault="00162CC1">
      <w:pPr>
        <w:spacing w:after="160" w:line="259" w:lineRule="auto"/>
        <w:rPr>
          <w:rFonts w:ascii="Arial" w:hAnsi="Arial" w:cs="Arial"/>
          <w:b/>
          <w:bCs/>
          <w:color w:val="5161FC" w:themeColor="accent1"/>
          <w:szCs w:val="20"/>
        </w:rPr>
      </w:pPr>
      <w:r>
        <w:rPr>
          <w:szCs w:val="20"/>
        </w:rPr>
        <w:br w:type="page"/>
      </w:r>
    </w:p>
    <w:p w14:paraId="0A343754"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103B557B"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F4AF97E"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0A523E41"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5A72E93E"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02AF12C" w14:textId="77777777" w:rsidR="00D51932" w:rsidRDefault="00D51932" w:rsidP="007C1A33">
            <w:pPr>
              <w:pStyle w:val="MHHSBody"/>
              <w:jc w:val="center"/>
            </w:pPr>
            <w:r>
              <w:t>What benefits does the change bring</w:t>
            </w:r>
          </w:p>
        </w:tc>
      </w:tr>
      <w:tr w:rsidR="00D51932" w14:paraId="278FD354" w14:textId="77777777" w:rsidTr="00651F24">
        <w:trPr>
          <w:trHeight w:val="2367"/>
        </w:trPr>
        <w:tc>
          <w:tcPr>
            <w:tcW w:w="10627" w:type="dxa"/>
            <w:vAlign w:val="top"/>
          </w:tcPr>
          <w:p w14:paraId="056ADB93"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6F764707" w14:textId="77777777" w:rsidR="00D51932" w:rsidRDefault="00B47526">
            <w:pPr>
              <w:pStyle w:val="MHHSBody"/>
            </w:pPr>
            <w:r>
              <w:t>If CP1589 is approved, t</w:t>
            </w:r>
            <w:r w:rsidR="00D61EB0">
              <w:t xml:space="preserve">his CR </w:t>
            </w:r>
            <w:r>
              <w:t>would be required to ensure that the MHHSP solution does not undo approved changes that were implemented prior to the Transition Period.</w:t>
            </w:r>
            <w:r w:rsidR="00397CA6">
              <w:br/>
            </w:r>
            <w:r w:rsidR="00397CA6" w:rsidRPr="00397CA6">
              <w:t xml:space="preserve">Expanding the Market Participant Role Code to a two-character </w:t>
            </w:r>
            <w:proofErr w:type="gramStart"/>
            <w:r w:rsidR="00397CA6" w:rsidRPr="00397CA6">
              <w:t>Char(</w:t>
            </w:r>
            <w:proofErr w:type="gramEnd"/>
            <w:r w:rsidR="00397CA6" w:rsidRPr="00397CA6">
              <w:t>2) format offers significant benefits, including a substantial increase in the number of available unique identifiers, ensuring future-proofing for market growth. This change enhances flexibility in assigning codes to new market roles and provides a long-term, sustainable solution. Char (2) also does not pose a risk to the existing data set, having lower and upper case of the same letter can could cause confusion.</w:t>
            </w:r>
          </w:p>
        </w:tc>
      </w:tr>
    </w:tbl>
    <w:p w14:paraId="53AAF3B0"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345"/>
      </w:tblGrid>
      <w:tr w:rsidR="002B04D8" w14:paraId="04DFA7DD" w14:textId="77777777" w:rsidTr="00386DD5">
        <w:trPr>
          <w:cnfStyle w:val="100000000000" w:firstRow="1" w:lastRow="0" w:firstColumn="0" w:lastColumn="0" w:oddVBand="0" w:evenVBand="0" w:oddHBand="0" w:evenHBand="0" w:firstRowFirstColumn="0" w:firstRowLastColumn="0" w:lastRowFirstColumn="0" w:lastRowLastColumn="0"/>
          <w:trHeight w:val="266"/>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38D4A" w14:textId="77777777" w:rsidR="002B04D8" w:rsidRDefault="002B04D8" w:rsidP="004D272C">
            <w:pPr>
              <w:pStyle w:val="MHHSBody"/>
            </w:pPr>
            <w:r>
              <w:t>Programme Objective</w:t>
            </w:r>
          </w:p>
        </w:tc>
        <w:tc>
          <w:tcPr>
            <w:tcW w:w="5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02E5F" w14:textId="77777777" w:rsidR="002B04D8" w:rsidRDefault="00706920" w:rsidP="004D272C">
            <w:pPr>
              <w:pStyle w:val="MHHSBody"/>
            </w:pPr>
            <w:r>
              <w:t xml:space="preserve">Benefit to delivery of the programme </w:t>
            </w:r>
            <w:r w:rsidR="000B3037">
              <w:t>objective</w:t>
            </w:r>
          </w:p>
        </w:tc>
      </w:tr>
      <w:tr w:rsidR="002B04D8" w14:paraId="285B53CD" w14:textId="77777777" w:rsidTr="00386DD5">
        <w:trPr>
          <w:trHeight w:val="860"/>
        </w:trPr>
        <w:tc>
          <w:tcPr>
            <w:tcW w:w="5240" w:type="dxa"/>
            <w:tcBorders>
              <w:top w:val="single" w:sz="4" w:space="0" w:color="auto"/>
            </w:tcBorders>
            <w:shd w:val="clear" w:color="auto" w:fill="F2F2F2" w:themeFill="background1" w:themeFillShade="F2"/>
          </w:tcPr>
          <w:p w14:paraId="1337895A"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345" w:type="dxa"/>
            <w:tcBorders>
              <w:top w:val="single" w:sz="4" w:space="0" w:color="auto"/>
            </w:tcBorders>
            <w:vAlign w:val="top"/>
          </w:tcPr>
          <w:p w14:paraId="549D0F28" w14:textId="77777777" w:rsidR="002B04D8" w:rsidRDefault="00D61EB0" w:rsidP="00151F9B">
            <w:pPr>
              <w:pStyle w:val="MHHSBody"/>
            </w:pPr>
            <w:r>
              <w:t>None identified</w:t>
            </w:r>
          </w:p>
        </w:tc>
      </w:tr>
      <w:tr w:rsidR="002B04D8" w14:paraId="70516036" w14:textId="77777777" w:rsidTr="00386DD5">
        <w:trPr>
          <w:trHeight w:val="860"/>
        </w:trPr>
        <w:tc>
          <w:tcPr>
            <w:tcW w:w="5240" w:type="dxa"/>
            <w:shd w:val="clear" w:color="auto" w:fill="F2F2F2" w:themeFill="background1" w:themeFillShade="F2"/>
          </w:tcPr>
          <w:p w14:paraId="52AAAEAC"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345" w:type="dxa"/>
            <w:vAlign w:val="top"/>
          </w:tcPr>
          <w:p w14:paraId="78FBD618" w14:textId="77777777" w:rsidR="002B04D8" w:rsidRDefault="00D61EB0" w:rsidP="00151F9B">
            <w:pPr>
              <w:pStyle w:val="MHHSBody"/>
            </w:pPr>
            <w:r>
              <w:t>None identified</w:t>
            </w:r>
          </w:p>
        </w:tc>
      </w:tr>
      <w:tr w:rsidR="00151F9B" w14:paraId="4F707130" w14:textId="77777777" w:rsidTr="00386DD5">
        <w:trPr>
          <w:trHeight w:val="860"/>
        </w:trPr>
        <w:tc>
          <w:tcPr>
            <w:tcW w:w="5240" w:type="dxa"/>
            <w:shd w:val="clear" w:color="auto" w:fill="F2F2F2" w:themeFill="background1" w:themeFillShade="F2"/>
          </w:tcPr>
          <w:p w14:paraId="7CE4DD71"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345" w:type="dxa"/>
            <w:vAlign w:val="top"/>
          </w:tcPr>
          <w:p w14:paraId="7310328E" w14:textId="77777777" w:rsidR="00151F9B" w:rsidRDefault="009751FC" w:rsidP="00151F9B">
            <w:pPr>
              <w:pStyle w:val="MHHSBody"/>
            </w:pPr>
            <w:r>
              <w:t>None identified</w:t>
            </w:r>
          </w:p>
        </w:tc>
      </w:tr>
      <w:tr w:rsidR="00151F9B" w14:paraId="51A72CD0" w14:textId="77777777" w:rsidTr="00386DD5">
        <w:trPr>
          <w:trHeight w:val="860"/>
        </w:trPr>
        <w:tc>
          <w:tcPr>
            <w:tcW w:w="5240" w:type="dxa"/>
            <w:shd w:val="clear" w:color="auto" w:fill="F2F2F2" w:themeFill="background1" w:themeFillShade="F2"/>
          </w:tcPr>
          <w:p w14:paraId="27B3252A"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345" w:type="dxa"/>
            <w:vAlign w:val="top"/>
          </w:tcPr>
          <w:p w14:paraId="1EA59739" w14:textId="77777777" w:rsidR="00151F9B" w:rsidRDefault="00B47526" w:rsidP="00151F9B">
            <w:pPr>
              <w:pStyle w:val="MHHSBody"/>
            </w:pPr>
            <w:r>
              <w:t>None identified</w:t>
            </w:r>
          </w:p>
        </w:tc>
      </w:tr>
      <w:tr w:rsidR="00151F9B" w14:paraId="4FF486A4" w14:textId="77777777" w:rsidTr="00386DD5">
        <w:trPr>
          <w:trHeight w:val="860"/>
        </w:trPr>
        <w:tc>
          <w:tcPr>
            <w:tcW w:w="5240" w:type="dxa"/>
            <w:shd w:val="clear" w:color="auto" w:fill="F2F2F2" w:themeFill="background1" w:themeFillShade="F2"/>
          </w:tcPr>
          <w:p w14:paraId="156F0FDE" w14:textId="77777777"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345" w:type="dxa"/>
            <w:vAlign w:val="top"/>
          </w:tcPr>
          <w:p w14:paraId="60C06521" w14:textId="77777777" w:rsidR="00151F9B" w:rsidRDefault="009751FC" w:rsidP="00386DD5">
            <w:pPr>
              <w:pStyle w:val="MHHSBody"/>
              <w:ind w:firstLine="34"/>
            </w:pPr>
            <w:r>
              <w:t>Yes</w:t>
            </w:r>
            <w:r w:rsidR="00386DD5">
              <w:t xml:space="preserve">, as the implementation of this CR will allow the MHHS programme to be delivered without adversely affecting the production baseline. </w:t>
            </w:r>
          </w:p>
        </w:tc>
      </w:tr>
      <w:tr w:rsidR="00151F9B" w14:paraId="6A42564D" w14:textId="77777777" w:rsidTr="00386DD5">
        <w:trPr>
          <w:trHeight w:val="860"/>
        </w:trPr>
        <w:tc>
          <w:tcPr>
            <w:tcW w:w="5240" w:type="dxa"/>
            <w:shd w:val="clear" w:color="auto" w:fill="F2F2F2" w:themeFill="background1" w:themeFillShade="F2"/>
          </w:tcPr>
          <w:p w14:paraId="72DE31BE" w14:textId="77777777"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345" w:type="dxa"/>
            <w:vAlign w:val="top"/>
          </w:tcPr>
          <w:p w14:paraId="51274301" w14:textId="77777777" w:rsidR="00151F9B" w:rsidRDefault="00B47526" w:rsidP="00151F9B">
            <w:pPr>
              <w:pStyle w:val="MHHSBody"/>
            </w:pPr>
            <w:r>
              <w:t>None identified</w:t>
            </w:r>
          </w:p>
        </w:tc>
      </w:tr>
    </w:tbl>
    <w:p w14:paraId="0DF5B91E" w14:textId="77777777" w:rsidR="002B04D8" w:rsidRDefault="002B04D8" w:rsidP="00250039">
      <w:pPr>
        <w:pStyle w:val="MHHSBody"/>
        <w:rPr>
          <w:b/>
          <w:bCs/>
          <w:i/>
          <w:iCs/>
        </w:rPr>
      </w:pPr>
    </w:p>
    <w:p w14:paraId="26CB7204"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document the known programme parties and programme deliverables that may be impacted by the proposed </w:t>
      </w:r>
      <w:proofErr w:type="gramStart"/>
      <w:r w:rsidRPr="00F6156E">
        <w:rPr>
          <w:b/>
          <w:bCs/>
          <w:i/>
          <w:iCs/>
        </w:rPr>
        <w:t>change</w:t>
      </w:r>
      <w:proofErr w:type="gramEnd"/>
    </w:p>
    <w:p w14:paraId="65E1CD2E"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6C32CA78"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228953BA"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095DBD46" w14:textId="77777777" w:rsidR="00CF3F69" w:rsidRDefault="002B4DF4" w:rsidP="00250039">
            <w:pPr>
              <w:pStyle w:val="MHHSBody"/>
            </w:pPr>
            <w:r>
              <w:t>Impacted items</w:t>
            </w:r>
          </w:p>
        </w:tc>
      </w:tr>
      <w:tr w:rsidR="00CF3F69" w14:paraId="071A1EF7" w14:textId="77777777" w:rsidTr="003A54C8">
        <w:trPr>
          <w:trHeight w:val="860"/>
        </w:trPr>
        <w:tc>
          <w:tcPr>
            <w:tcW w:w="1980" w:type="dxa"/>
            <w:shd w:val="clear" w:color="auto" w:fill="F2F2F2" w:themeFill="background1" w:themeFillShade="F2"/>
          </w:tcPr>
          <w:p w14:paraId="738E4597" w14:textId="77777777" w:rsidR="00CF3F69" w:rsidRDefault="00591B14" w:rsidP="00250039">
            <w:pPr>
              <w:pStyle w:val="MHHSBody"/>
            </w:pPr>
            <w:r>
              <w:t>Impacted Parties</w:t>
            </w:r>
          </w:p>
        </w:tc>
        <w:tc>
          <w:tcPr>
            <w:tcW w:w="8605" w:type="dxa"/>
          </w:tcPr>
          <w:p w14:paraId="3410B68E" w14:textId="77777777" w:rsidR="00CF3F69" w:rsidRDefault="009751FC" w:rsidP="00E451D4">
            <w:pPr>
              <w:pStyle w:val="MHHSBody"/>
            </w:pPr>
            <w:r>
              <w:t>MHHS</w:t>
            </w:r>
            <w:r w:rsidR="00386DD5">
              <w:t>P</w:t>
            </w:r>
            <w:r w:rsidR="00397CA6">
              <w:t xml:space="preserve"> – Code Drafting</w:t>
            </w:r>
            <w:r w:rsidR="00386DD5">
              <w:t xml:space="preserve"> &amp; Design</w:t>
            </w:r>
          </w:p>
          <w:p w14:paraId="00383371" w14:textId="77777777" w:rsidR="00386DD5" w:rsidRDefault="00386DD5" w:rsidP="00386DD5">
            <w:pPr>
              <w:pStyle w:val="MHHSBody"/>
            </w:pPr>
            <w:r>
              <w:t>All participants that use MDD / ISD</w:t>
            </w:r>
          </w:p>
        </w:tc>
      </w:tr>
      <w:tr w:rsidR="00CF3F69" w14:paraId="640AE69A" w14:textId="77777777" w:rsidTr="003A54C8">
        <w:trPr>
          <w:trHeight w:val="860"/>
        </w:trPr>
        <w:tc>
          <w:tcPr>
            <w:tcW w:w="1980" w:type="dxa"/>
            <w:shd w:val="clear" w:color="auto" w:fill="F2F2F2" w:themeFill="background1" w:themeFillShade="F2"/>
          </w:tcPr>
          <w:p w14:paraId="1022A3F4" w14:textId="77777777" w:rsidR="00CF3F69" w:rsidRDefault="00591B14" w:rsidP="00250039">
            <w:pPr>
              <w:pStyle w:val="MHHSBody"/>
            </w:pPr>
            <w:r>
              <w:t>Impacted Deliverables</w:t>
            </w:r>
          </w:p>
        </w:tc>
        <w:tc>
          <w:tcPr>
            <w:tcW w:w="8605" w:type="dxa"/>
          </w:tcPr>
          <w:p w14:paraId="1BF88EAA" w14:textId="77777777" w:rsidR="00CF3F69" w:rsidRDefault="009751FC" w:rsidP="00250039">
            <w:pPr>
              <w:pStyle w:val="MHHSBody"/>
            </w:pPr>
            <w:r>
              <w:t>BSC Change Proposal (CP) 1589.</w:t>
            </w:r>
          </w:p>
          <w:p w14:paraId="2985E1D8" w14:textId="77777777" w:rsidR="00386DD5" w:rsidRDefault="00386DD5" w:rsidP="00250039">
            <w:pPr>
              <w:pStyle w:val="MHHSBody"/>
            </w:pPr>
            <w:r>
              <w:t>MHHSP_EDI021_ISD_Entities</w:t>
            </w:r>
          </w:p>
          <w:p w14:paraId="1035E1A4" w14:textId="77777777" w:rsidR="00386DD5" w:rsidRPr="007670C9" w:rsidRDefault="00386DD5" w:rsidP="00386DD5">
            <w:pPr>
              <w:pStyle w:val="MHHSBody"/>
              <w:spacing w:before="120" w:line="0" w:lineRule="atLeast"/>
              <w:rPr>
                <w:szCs w:val="16"/>
              </w:rPr>
            </w:pPr>
            <w:r w:rsidRPr="007670C9">
              <w:rPr>
                <w:szCs w:val="16"/>
              </w:rPr>
              <w:t>ISD Management System</w:t>
            </w:r>
            <w:r>
              <w:rPr>
                <w:szCs w:val="16"/>
              </w:rPr>
              <w:t>; and</w:t>
            </w:r>
          </w:p>
          <w:p w14:paraId="7E1E1B51" w14:textId="77777777" w:rsidR="00386DD5" w:rsidRPr="00386DD5" w:rsidRDefault="00386DD5" w:rsidP="00386DD5">
            <w:pPr>
              <w:pStyle w:val="MHHSBody"/>
              <w:spacing w:before="120" w:line="0" w:lineRule="atLeast"/>
              <w:rPr>
                <w:szCs w:val="16"/>
              </w:rPr>
            </w:pPr>
            <w:r w:rsidRPr="007670C9">
              <w:rPr>
                <w:szCs w:val="16"/>
              </w:rPr>
              <w:t>BSCP707 (ISDD) Appendices 1 &amp; 2</w:t>
            </w:r>
            <w:r>
              <w:rPr>
                <w:szCs w:val="16"/>
              </w:rPr>
              <w:t>.</w:t>
            </w:r>
          </w:p>
        </w:tc>
      </w:tr>
      <w:tr w:rsidR="006F0122" w14:paraId="0805FC65" w14:textId="77777777" w:rsidTr="003A54C8">
        <w:trPr>
          <w:trHeight w:val="860"/>
        </w:trPr>
        <w:tc>
          <w:tcPr>
            <w:tcW w:w="1980" w:type="dxa"/>
            <w:shd w:val="clear" w:color="auto" w:fill="F2F2F2" w:themeFill="background1" w:themeFillShade="F2"/>
          </w:tcPr>
          <w:p w14:paraId="113D80E2" w14:textId="77777777" w:rsidR="006F0122" w:rsidRDefault="006F0122" w:rsidP="00250039">
            <w:pPr>
              <w:pStyle w:val="MHHSBody"/>
            </w:pPr>
            <w:r>
              <w:lastRenderedPageBreak/>
              <w:t>Impacted Milestones</w:t>
            </w:r>
          </w:p>
        </w:tc>
        <w:tc>
          <w:tcPr>
            <w:tcW w:w="8605" w:type="dxa"/>
          </w:tcPr>
          <w:p w14:paraId="7F8616E5" w14:textId="77777777" w:rsidR="004E5557" w:rsidRDefault="00AF1E63" w:rsidP="00386DD5">
            <w:pPr>
              <w:pStyle w:val="MHHSBody"/>
              <w:rPr>
                <w:i/>
                <w:iCs/>
                <w:color w:val="5161FC" w:themeColor="accent1"/>
              </w:rPr>
            </w:pPr>
            <w:r>
              <w:rPr>
                <w:i/>
                <w:iCs/>
                <w:color w:val="5161FC" w:themeColor="accent1"/>
              </w:rPr>
              <w:t>TBC – this CR will be progressed in parallel with CP1589.</w:t>
            </w:r>
          </w:p>
          <w:p w14:paraId="56294341" w14:textId="77777777" w:rsidR="00AF1E63" w:rsidRPr="0054131D" w:rsidRDefault="00AF1E63" w:rsidP="00AF1E63">
            <w:pPr>
              <w:pStyle w:val="MHHSBody"/>
              <w:rPr>
                <w:i/>
                <w:iCs/>
              </w:rPr>
            </w:pPr>
            <w:r>
              <w:rPr>
                <w:i/>
                <w:iCs/>
                <w:color w:val="5161FC" w:themeColor="accent1"/>
              </w:rPr>
              <w:t>It is likely that the CP1589 would be presented to SVG at its meeting on February 13 and this CR would be presented to SVG at its meeting on February 14.</w:t>
            </w:r>
          </w:p>
        </w:tc>
      </w:tr>
    </w:tbl>
    <w:p w14:paraId="68B051C1" w14:textId="77777777" w:rsidR="00CF3F69" w:rsidRPr="00250039" w:rsidRDefault="00CF3F69" w:rsidP="00250039">
      <w:pPr>
        <w:pStyle w:val="MHHSBody"/>
      </w:pPr>
    </w:p>
    <w:p w14:paraId="4F3D599D"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FA3C994"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471B8311"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49792209" w14:textId="77777777" w:rsidR="004D0669" w:rsidRDefault="004D0669" w:rsidP="005A4D7B">
            <w:pPr>
              <w:pStyle w:val="MHHSBody"/>
              <w:jc w:val="center"/>
            </w:pPr>
            <w:r>
              <w:t>Initial assessment</w:t>
            </w:r>
          </w:p>
        </w:tc>
      </w:tr>
      <w:tr w:rsidR="004D0669" w14:paraId="0CFF2278" w14:textId="77777777" w:rsidTr="003A54C8">
        <w:tc>
          <w:tcPr>
            <w:tcW w:w="3392" w:type="dxa"/>
            <w:shd w:val="clear" w:color="auto" w:fill="F2F2F2" w:themeFill="background1" w:themeFillShade="F2"/>
          </w:tcPr>
          <w:p w14:paraId="05800E2D" w14:textId="77777777" w:rsidR="004D0669" w:rsidRDefault="004D0669" w:rsidP="005A4D7B">
            <w:pPr>
              <w:pStyle w:val="MHHSBody"/>
            </w:pPr>
            <w:r>
              <w:t>Necessity of change</w:t>
            </w:r>
          </w:p>
        </w:tc>
        <w:tc>
          <w:tcPr>
            <w:tcW w:w="2108" w:type="dxa"/>
          </w:tcPr>
          <w:p w14:paraId="1CAC9683" w14:textId="77777777" w:rsidR="004D0669" w:rsidRDefault="004D0669" w:rsidP="005A4D7B">
            <w:pPr>
              <w:pStyle w:val="MHHSBody"/>
            </w:pPr>
            <w:r>
              <w:rPr>
                <w:color w:val="2B579A"/>
                <w:shd w:val="clear" w:color="auto" w:fill="E6E6E6"/>
              </w:rPr>
              <w:fldChar w:fldCharType="begin">
                <w:ffData>
                  <w:name w:val="Dropdown1"/>
                  <w:enabled/>
                  <w:calcOnExit/>
                  <w:ddList>
                    <w:listEntry w:val="1 - Critical Change"/>
                    <w:listEntry w:val="2 - Important Change"/>
                    <w:listEntry w:val="3 - Potentially Important"/>
                  </w:ddList>
                </w:ffData>
              </w:fldChar>
            </w:r>
            <w:bookmarkStart w:id="0" w:name="Dropdown1"/>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0"/>
          </w:p>
        </w:tc>
        <w:tc>
          <w:tcPr>
            <w:tcW w:w="3279" w:type="dxa"/>
            <w:shd w:val="clear" w:color="auto" w:fill="F2F2F2" w:themeFill="background1" w:themeFillShade="F2"/>
          </w:tcPr>
          <w:p w14:paraId="2416E1FA" w14:textId="77777777" w:rsidR="004D0669" w:rsidRDefault="004D0669" w:rsidP="005A4D7B">
            <w:pPr>
              <w:pStyle w:val="MHHSBody"/>
            </w:pPr>
            <w:r>
              <w:t>Expected lead time</w:t>
            </w:r>
          </w:p>
        </w:tc>
        <w:tc>
          <w:tcPr>
            <w:tcW w:w="1752" w:type="dxa"/>
          </w:tcPr>
          <w:p w14:paraId="1CE80B1D" w14:textId="77777777" w:rsidR="004D0669" w:rsidRDefault="004D0669" w:rsidP="005A4D7B">
            <w:pPr>
              <w:pStyle w:val="MHHSBody"/>
            </w:pPr>
            <w:r>
              <w:rPr>
                <w:color w:val="2B579A"/>
                <w:shd w:val="clear" w:color="auto" w:fill="E6E6E6"/>
              </w:rP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 w:name="Dropdown4"/>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1"/>
          </w:p>
        </w:tc>
      </w:tr>
      <w:tr w:rsidR="004D0669" w14:paraId="75A4085E" w14:textId="77777777" w:rsidTr="003A54C8">
        <w:tc>
          <w:tcPr>
            <w:tcW w:w="3392" w:type="dxa"/>
            <w:shd w:val="clear" w:color="auto" w:fill="F2F2F2" w:themeFill="background1" w:themeFillShade="F2"/>
          </w:tcPr>
          <w:p w14:paraId="32D9FB49" w14:textId="77777777" w:rsidR="004D0669" w:rsidRDefault="004D0669" w:rsidP="005A4D7B">
            <w:pPr>
              <w:pStyle w:val="MHHSBody"/>
            </w:pPr>
            <w:r>
              <w:t>Rationale of change</w:t>
            </w:r>
          </w:p>
        </w:tc>
        <w:tc>
          <w:tcPr>
            <w:tcW w:w="2108" w:type="dxa"/>
          </w:tcPr>
          <w:p w14:paraId="6F89E101" w14:textId="77777777" w:rsidR="004D0669" w:rsidRDefault="004D0669" w:rsidP="005A4D7B">
            <w:pPr>
              <w:pStyle w:val="MHHSBody"/>
            </w:pPr>
            <w:r>
              <w:rPr>
                <w:color w:val="2B579A"/>
                <w:shd w:val="clear" w:color="auto" w:fill="E6E6E6"/>
              </w:rP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2" w:name="Dropdown2"/>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
          </w:p>
        </w:tc>
        <w:tc>
          <w:tcPr>
            <w:tcW w:w="3279" w:type="dxa"/>
            <w:tcBorders>
              <w:bottom w:val="single" w:sz="4" w:space="0" w:color="auto"/>
            </w:tcBorders>
            <w:shd w:val="clear" w:color="auto" w:fill="F2F2F2" w:themeFill="background1" w:themeFillShade="F2"/>
          </w:tcPr>
          <w:p w14:paraId="1789DA21" w14:textId="77777777" w:rsidR="004D0669" w:rsidRDefault="004D0669" w:rsidP="005A4D7B">
            <w:pPr>
              <w:pStyle w:val="MHHSBody"/>
            </w:pPr>
            <w:r>
              <w:t>Expected implementation window</w:t>
            </w:r>
          </w:p>
        </w:tc>
        <w:tc>
          <w:tcPr>
            <w:tcW w:w="1752" w:type="dxa"/>
            <w:tcBorders>
              <w:bottom w:val="single" w:sz="4" w:space="0" w:color="auto"/>
            </w:tcBorders>
          </w:tcPr>
          <w:p w14:paraId="1E81D3B8" w14:textId="77777777" w:rsidR="004D0669" w:rsidRDefault="004D0669" w:rsidP="005A4D7B">
            <w:pPr>
              <w:pStyle w:val="MHHSBody"/>
            </w:pPr>
            <w:r>
              <w:rPr>
                <w:color w:val="2B579A"/>
                <w:shd w:val="clear" w:color="auto" w:fill="E6E6E6"/>
              </w:rPr>
              <w:fldChar w:fldCharType="begin">
                <w:ffData>
                  <w:name w:val="Dropdown5"/>
                  <w:enabled/>
                  <w:calcOnExit w:val="0"/>
                  <w:ddList>
                    <w:listEntry w:val="1 - Imminent"/>
                    <w:listEntry w:val="2 - Short"/>
                    <w:listEntry w:val="3 - Medium"/>
                    <w:listEntry w:val="4 - Long"/>
                    <w:listEntry w:val="5 Go-Live"/>
                  </w:ddList>
                </w:ffData>
              </w:fldChar>
            </w:r>
            <w:bookmarkStart w:id="3" w:name="Dropdown5"/>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3"/>
          </w:p>
        </w:tc>
      </w:tr>
      <w:tr w:rsidR="004D0669" w14:paraId="63A38B58" w14:textId="77777777" w:rsidTr="003A54C8">
        <w:tc>
          <w:tcPr>
            <w:tcW w:w="3392" w:type="dxa"/>
            <w:shd w:val="clear" w:color="auto" w:fill="F2F2F2" w:themeFill="background1" w:themeFillShade="F2"/>
          </w:tcPr>
          <w:p w14:paraId="30E1E5C7" w14:textId="77777777" w:rsidR="004D0669" w:rsidRDefault="004D0669" w:rsidP="005A4D7B">
            <w:pPr>
              <w:pStyle w:val="MHHSBody"/>
            </w:pPr>
            <w:r>
              <w:t>Expected change impact</w:t>
            </w:r>
          </w:p>
        </w:tc>
        <w:tc>
          <w:tcPr>
            <w:tcW w:w="2108" w:type="dxa"/>
            <w:tcBorders>
              <w:right w:val="single" w:sz="4" w:space="0" w:color="auto"/>
            </w:tcBorders>
          </w:tcPr>
          <w:p w14:paraId="6538BEDC" w14:textId="77777777" w:rsidR="004D0669" w:rsidRDefault="004D0669" w:rsidP="005A4D7B">
            <w:pPr>
              <w:pStyle w:val="MHHSBody"/>
            </w:pPr>
            <w:r>
              <w:rPr>
                <w:color w:val="2B579A"/>
                <w:shd w:val="clear" w:color="auto" w:fill="E6E6E6"/>
              </w:rPr>
              <w:fldChar w:fldCharType="begin">
                <w:ffData>
                  <w:name w:val="Dropdown3"/>
                  <w:enabled/>
                  <w:calcOnExit w:val="0"/>
                  <w:ddList>
                    <w:listEntry w:val="Very Low"/>
                    <w:listEntry w:val="Low"/>
                    <w:listEntry w:val="Medium"/>
                    <w:listEntry w:val="High"/>
                  </w:ddList>
                </w:ffData>
              </w:fldChar>
            </w:r>
            <w:bookmarkStart w:id="4" w:name="Dropdown3"/>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
          </w:p>
        </w:tc>
        <w:tc>
          <w:tcPr>
            <w:tcW w:w="3279" w:type="dxa"/>
            <w:tcBorders>
              <w:top w:val="single" w:sz="4" w:space="0" w:color="auto"/>
              <w:left w:val="single" w:sz="4" w:space="0" w:color="auto"/>
              <w:bottom w:val="nil"/>
              <w:right w:val="nil"/>
            </w:tcBorders>
            <w:shd w:val="clear" w:color="auto" w:fill="auto"/>
          </w:tcPr>
          <w:p w14:paraId="4CFEE745"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69FB2ABD" w14:textId="77777777" w:rsidR="004D0669" w:rsidRDefault="004D0669" w:rsidP="005A4D7B">
            <w:pPr>
              <w:pStyle w:val="MHHSBody"/>
            </w:pPr>
          </w:p>
        </w:tc>
      </w:tr>
    </w:tbl>
    <w:p w14:paraId="1425A462" w14:textId="77777777" w:rsidR="005B7D3A" w:rsidRDefault="005B7D3A">
      <w:pPr>
        <w:spacing w:after="160" w:line="259" w:lineRule="auto"/>
        <w:rPr>
          <w:szCs w:val="20"/>
        </w:rPr>
      </w:pPr>
    </w:p>
    <w:p w14:paraId="03200F48"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421AEA44"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7FF70229"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682F5FD7" w14:textId="77777777" w:rsidTr="00C62FEC">
        <w:tc>
          <w:tcPr>
            <w:tcW w:w="5939" w:type="dxa"/>
            <w:tcBorders>
              <w:left w:val="single" w:sz="4" w:space="0" w:color="auto"/>
              <w:right w:val="single" w:sz="4" w:space="0" w:color="auto"/>
            </w:tcBorders>
            <w:shd w:val="clear" w:color="auto" w:fill="D9D9D9" w:themeFill="background1" w:themeFillShade="D9"/>
          </w:tcPr>
          <w:p w14:paraId="1D99F76A"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36B566A4"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E451D4" w:rsidRPr="00A92AE4" w14:paraId="7703F225" w14:textId="77777777" w:rsidTr="00C62FEC">
        <w:tc>
          <w:tcPr>
            <w:tcW w:w="5939" w:type="dxa"/>
            <w:vMerge w:val="restart"/>
            <w:tcBorders>
              <w:left w:val="single" w:sz="4" w:space="0" w:color="auto"/>
              <w:right w:val="single" w:sz="4" w:space="0" w:color="auto"/>
            </w:tcBorders>
            <w:shd w:val="clear" w:color="auto" w:fill="F2F2F2" w:themeFill="background1" w:themeFillShade="F2"/>
          </w:tcPr>
          <w:p w14:paraId="7C7CB922" w14:textId="77777777" w:rsidR="00E451D4" w:rsidRPr="00F94CF8" w:rsidRDefault="00E451D4" w:rsidP="00C62FEC">
            <w:pPr>
              <w:pStyle w:val="MHHSBody"/>
              <w:rPr>
                <w:rFonts w:cstheme="minorHAnsi"/>
                <w:szCs w:val="20"/>
              </w:rPr>
            </w:pPr>
            <w:r>
              <w:rPr>
                <w:rFonts w:cstheme="minorHAnsi"/>
                <w:szCs w:val="20"/>
              </w:rPr>
              <w:t>CP1589 ‘</w:t>
            </w:r>
            <w:r w:rsidRPr="00E451D4">
              <w:rPr>
                <w:rFonts w:cstheme="minorHAnsi"/>
                <w:szCs w:val="20"/>
              </w:rPr>
              <w:t>Create Additional Market Participant Role Codes</w:t>
            </w:r>
            <w:r>
              <w:rPr>
                <w:rFonts w:cstheme="minorHAnsi"/>
                <w:szCs w:val="20"/>
              </w:rPr>
              <w:t>’</w:t>
            </w:r>
          </w:p>
        </w:tc>
        <w:tc>
          <w:tcPr>
            <w:tcW w:w="4587" w:type="dxa"/>
            <w:tcBorders>
              <w:left w:val="single" w:sz="4" w:space="0" w:color="auto"/>
              <w:right w:val="single" w:sz="4" w:space="0" w:color="auto"/>
            </w:tcBorders>
          </w:tcPr>
          <w:p w14:paraId="57D73B1F" w14:textId="77777777" w:rsidR="00E451D4" w:rsidRPr="00E451D4" w:rsidRDefault="00000000" w:rsidP="00C62FEC">
            <w:pPr>
              <w:pStyle w:val="MHHSBody"/>
              <w:rPr>
                <w:rFonts w:cstheme="minorHAnsi"/>
                <w:b/>
                <w:bCs/>
                <w:i/>
                <w:iCs/>
                <w:color w:val="445CF4" w:themeColor="accent6" w:themeShade="BF"/>
                <w:szCs w:val="20"/>
                <w:u w:val="single"/>
              </w:rPr>
            </w:pPr>
            <w:hyperlink r:id="rId13" w:history="1">
              <w:r w:rsidR="00E451D4" w:rsidRPr="00E451D4">
                <w:rPr>
                  <w:rStyle w:val="Hyperlink"/>
                  <w:rFonts w:cstheme="minorHAnsi"/>
                  <w:b/>
                  <w:bCs/>
                  <w:i/>
                  <w:iCs/>
                  <w:color w:val="445CF4" w:themeColor="accent6" w:themeShade="BF"/>
                  <w:szCs w:val="20"/>
                </w:rPr>
                <w:t>CP1589 Consultation 2.0</w:t>
              </w:r>
            </w:hyperlink>
          </w:p>
        </w:tc>
      </w:tr>
      <w:tr w:rsidR="00E451D4" w:rsidRPr="00A92AE4" w14:paraId="64CC1D21" w14:textId="77777777" w:rsidTr="00C62FEC">
        <w:tc>
          <w:tcPr>
            <w:tcW w:w="5939" w:type="dxa"/>
            <w:vMerge/>
            <w:tcBorders>
              <w:left w:val="single" w:sz="4" w:space="0" w:color="auto"/>
              <w:right w:val="single" w:sz="4" w:space="0" w:color="auto"/>
            </w:tcBorders>
            <w:shd w:val="clear" w:color="auto" w:fill="F2F2F2" w:themeFill="background1" w:themeFillShade="F2"/>
          </w:tcPr>
          <w:p w14:paraId="6D6D6622" w14:textId="77777777"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18F40763" w14:textId="77777777" w:rsidR="00E451D4" w:rsidRPr="00E451D4" w:rsidRDefault="00000000" w:rsidP="00C62FEC">
            <w:pPr>
              <w:pStyle w:val="MHHSBody"/>
              <w:rPr>
                <w:rFonts w:cstheme="minorHAnsi"/>
                <w:b/>
                <w:bCs/>
                <w:i/>
                <w:iCs/>
                <w:color w:val="445CF4" w:themeColor="accent6" w:themeShade="BF"/>
                <w:szCs w:val="20"/>
              </w:rPr>
            </w:pPr>
            <w:hyperlink r:id="rId14" w:history="1">
              <w:r w:rsidR="00E451D4" w:rsidRPr="00E451D4">
                <w:rPr>
                  <w:rStyle w:val="Hyperlink"/>
                  <w:rFonts w:cstheme="minorHAnsi"/>
                  <w:b/>
                  <w:bCs/>
                  <w:i/>
                  <w:iCs/>
                  <w:color w:val="445CF4" w:themeColor="accent6" w:themeShade="BF"/>
                  <w:szCs w:val="20"/>
                </w:rPr>
                <w:t>CP1589 Progression Paper</w:t>
              </w:r>
            </w:hyperlink>
          </w:p>
        </w:tc>
      </w:tr>
    </w:tbl>
    <w:p w14:paraId="058675BA" w14:textId="77777777" w:rsidR="00C660BD" w:rsidRDefault="005B7D3A">
      <w:pPr>
        <w:spacing w:after="160" w:line="259" w:lineRule="auto"/>
        <w:rPr>
          <w:szCs w:val="20"/>
        </w:rPr>
      </w:pPr>
      <w:r>
        <w:rPr>
          <w:szCs w:val="20"/>
        </w:rPr>
        <w:br w:type="page"/>
      </w:r>
    </w:p>
    <w:p w14:paraId="125F01EB"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61D94154"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66AC0CC1"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response (</w:t>
      </w:r>
      <w:proofErr w:type="gramStart"/>
      <w:r w:rsidRPr="00214B3C">
        <w:rPr>
          <w:rFonts w:cstheme="minorHAnsi"/>
          <w:b w:val="0"/>
          <w:bCs w:val="0"/>
          <w:i/>
          <w:iCs/>
          <w:color w:val="041425" w:themeColor="text1"/>
          <w:sz w:val="20"/>
          <w:szCs w:val="20"/>
        </w:rPr>
        <w:t>e.g.</w:t>
      </w:r>
      <w:proofErr w:type="gramEnd"/>
      <w:r w:rsidRPr="00214B3C">
        <w:rPr>
          <w:rFonts w:cstheme="minorHAnsi"/>
          <w:b w:val="0"/>
          <w:bCs w:val="0"/>
          <w:i/>
          <w:iCs/>
          <w:color w:val="041425" w:themeColor="text1"/>
          <w:sz w:val="20"/>
          <w:szCs w:val="20"/>
        </w:rPr>
        <w:t xml:space="preserve">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71722EC3"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478E933"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6D9714D4" w14:textId="77777777" w:rsidR="00A76C6F" w:rsidRDefault="00A76C6F" w:rsidP="00A76C6F">
      <w:pPr>
        <w:pStyle w:val="CommentText"/>
        <w:ind w:left="360"/>
        <w:rPr>
          <w:b/>
          <w:bCs/>
        </w:rPr>
      </w:pPr>
    </w:p>
    <w:p w14:paraId="5806F7E9"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1E6178E4" w14:textId="77777777" w:rsidR="00A76C6F" w:rsidRPr="00484B40" w:rsidRDefault="00A76C6F" w:rsidP="00A76C6F">
      <w:pPr>
        <w:pStyle w:val="CommentText"/>
        <w:ind w:left="360"/>
        <w:rPr>
          <w:b/>
          <w:bCs/>
        </w:rPr>
      </w:pPr>
    </w:p>
    <w:p w14:paraId="1C67951A"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4CCFCADB"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2E6E3E76"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5AA6072D"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43199333" w14:textId="77777777" w:rsidTr="004D272C">
        <w:tc>
          <w:tcPr>
            <w:tcW w:w="10536" w:type="dxa"/>
          </w:tcPr>
          <w:p w14:paraId="565F0B09"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17372DC4" w14:textId="77777777" w:rsidR="007B7230" w:rsidRDefault="009D23CF" w:rsidP="004D272C">
            <w:pPr>
              <w:pStyle w:val="MHHSBody"/>
              <w:rPr>
                <w:rFonts w:cstheme="minorHAnsi"/>
                <w:i/>
                <w:iCs/>
                <w:color w:val="041425" w:themeColor="text1"/>
                <w:szCs w:val="20"/>
              </w:rPr>
            </w:pPr>
            <w:r>
              <w:rPr>
                <w:rFonts w:cstheme="minorHAnsi"/>
                <w:i/>
                <w:iCs/>
                <w:color w:val="041425" w:themeColor="text1"/>
                <w:szCs w:val="20"/>
              </w:rPr>
              <w:t xml:space="preserve">Implementing </w:t>
            </w:r>
            <w:r w:rsidR="00F260AE">
              <w:rPr>
                <w:rFonts w:cstheme="minorHAnsi"/>
                <w:i/>
                <w:iCs/>
                <w:color w:val="041425" w:themeColor="text1"/>
                <w:szCs w:val="20"/>
              </w:rPr>
              <w:t>t</w:t>
            </w:r>
            <w:r w:rsidR="006043E4">
              <w:rPr>
                <w:rFonts w:cstheme="minorHAnsi"/>
                <w:i/>
                <w:iCs/>
                <w:color w:val="041425" w:themeColor="text1"/>
                <w:szCs w:val="20"/>
              </w:rPr>
              <w:t xml:space="preserve">his CR </w:t>
            </w:r>
            <w:r>
              <w:rPr>
                <w:rFonts w:cstheme="minorHAnsi"/>
                <w:i/>
                <w:iCs/>
                <w:color w:val="041425" w:themeColor="text1"/>
                <w:szCs w:val="20"/>
              </w:rPr>
              <w:t xml:space="preserve">– and, by implication, agreeing that CP1589 should be implemented, if SVG so directs - </w:t>
            </w:r>
            <w:r w:rsidR="006043E4">
              <w:rPr>
                <w:rFonts w:cstheme="minorHAnsi"/>
                <w:i/>
                <w:iCs/>
                <w:color w:val="041425" w:themeColor="text1"/>
                <w:szCs w:val="20"/>
              </w:rPr>
              <w:t xml:space="preserve">will ensure that the MHHS programme </w:t>
            </w:r>
            <w:r>
              <w:rPr>
                <w:rFonts w:cstheme="minorHAnsi"/>
                <w:i/>
                <w:iCs/>
                <w:color w:val="041425" w:themeColor="text1"/>
                <w:szCs w:val="20"/>
              </w:rPr>
              <w:t xml:space="preserve">systems will be able to process </w:t>
            </w:r>
            <w:proofErr w:type="gramStart"/>
            <w:r>
              <w:rPr>
                <w:rFonts w:cstheme="minorHAnsi"/>
                <w:i/>
                <w:iCs/>
                <w:color w:val="041425" w:themeColor="text1"/>
                <w:szCs w:val="20"/>
              </w:rPr>
              <w:t>Char(</w:t>
            </w:r>
            <w:proofErr w:type="gramEnd"/>
            <w:r>
              <w:rPr>
                <w:rFonts w:cstheme="minorHAnsi"/>
                <w:i/>
                <w:iCs/>
                <w:color w:val="041425" w:themeColor="text1"/>
                <w:szCs w:val="20"/>
              </w:rPr>
              <w:t>2) Market Participant Role Codes, and so will ensure that the CP</w:t>
            </w:r>
            <w:r w:rsidR="006043E4">
              <w:rPr>
                <w:rFonts w:cstheme="minorHAnsi"/>
                <w:i/>
                <w:iCs/>
                <w:color w:val="041425" w:themeColor="text1"/>
                <w:szCs w:val="20"/>
              </w:rPr>
              <w:t xml:space="preserve"> implementation </w:t>
            </w:r>
            <w:r w:rsidR="00F260AE">
              <w:rPr>
                <w:rFonts w:cstheme="minorHAnsi"/>
                <w:i/>
                <w:iCs/>
                <w:color w:val="041425" w:themeColor="text1"/>
                <w:szCs w:val="20"/>
              </w:rPr>
              <w:t>t</w:t>
            </w:r>
            <w:r w:rsidR="006043E4">
              <w:rPr>
                <w:rFonts w:cstheme="minorHAnsi"/>
                <w:i/>
                <w:iCs/>
                <w:color w:val="041425" w:themeColor="text1"/>
                <w:szCs w:val="20"/>
              </w:rPr>
              <w:t>o</w:t>
            </w:r>
            <w:r>
              <w:rPr>
                <w:rFonts w:cstheme="minorHAnsi"/>
                <w:i/>
                <w:iCs/>
                <w:color w:val="041425" w:themeColor="text1"/>
                <w:szCs w:val="20"/>
              </w:rPr>
              <w:t xml:space="preserve"> the MHHSP will not adversely impact the</w:t>
            </w:r>
            <w:r w:rsidR="006043E4">
              <w:rPr>
                <w:rFonts w:cstheme="minorHAnsi"/>
                <w:i/>
                <w:iCs/>
                <w:color w:val="041425" w:themeColor="text1"/>
                <w:szCs w:val="20"/>
              </w:rPr>
              <w:t xml:space="preserve"> </w:t>
            </w:r>
            <w:r>
              <w:rPr>
                <w:rFonts w:cstheme="minorHAnsi"/>
                <w:i/>
                <w:iCs/>
                <w:color w:val="041425" w:themeColor="text1"/>
                <w:szCs w:val="20"/>
              </w:rPr>
              <w:t xml:space="preserve">implemented </w:t>
            </w:r>
            <w:r w:rsidR="006043E4">
              <w:rPr>
                <w:rFonts w:cstheme="minorHAnsi"/>
                <w:i/>
                <w:iCs/>
                <w:color w:val="041425" w:themeColor="text1"/>
                <w:szCs w:val="20"/>
              </w:rPr>
              <w:t>CP1589</w:t>
            </w:r>
            <w:r>
              <w:rPr>
                <w:rFonts w:cstheme="minorHAnsi"/>
                <w:i/>
                <w:iCs/>
                <w:color w:val="041425" w:themeColor="text1"/>
                <w:szCs w:val="20"/>
              </w:rPr>
              <w:t xml:space="preserve"> solution</w:t>
            </w:r>
          </w:p>
          <w:p w14:paraId="3AE37558" w14:textId="77777777" w:rsidR="007B7230" w:rsidRPr="007B7230" w:rsidRDefault="007B7230" w:rsidP="004D272C">
            <w:pPr>
              <w:pStyle w:val="MHHSBody"/>
              <w:rPr>
                <w:rFonts w:cstheme="minorHAnsi"/>
                <w:i/>
                <w:iCs/>
                <w:color w:val="041425" w:themeColor="text1"/>
                <w:szCs w:val="20"/>
              </w:rPr>
            </w:pPr>
          </w:p>
        </w:tc>
      </w:tr>
      <w:tr w:rsidR="006077F9" w:rsidRPr="005B7D3A" w14:paraId="3A9CB028" w14:textId="77777777" w:rsidTr="00AF4AE2">
        <w:tc>
          <w:tcPr>
            <w:tcW w:w="10536" w:type="dxa"/>
            <w:shd w:val="clear" w:color="auto" w:fill="F2F2F2" w:themeFill="background1" w:themeFillShade="F2"/>
          </w:tcPr>
          <w:p w14:paraId="4730EA63"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4B8D7C2" w14:textId="77777777" w:rsidTr="002C0835">
        <w:tc>
          <w:tcPr>
            <w:tcW w:w="10536" w:type="dxa"/>
            <w:shd w:val="clear" w:color="auto" w:fill="FFFFFF" w:themeFill="background1"/>
          </w:tcPr>
          <w:p w14:paraId="281EC05B"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EC62406"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w:t>
            </w:r>
            <w:proofErr w:type="gramStart"/>
            <w:r w:rsidRPr="00484B40">
              <w:rPr>
                <w:i/>
                <w:iCs/>
                <w:color w:val="FF0000"/>
              </w:rPr>
              <w:t>e.g.</w:t>
            </w:r>
            <w:proofErr w:type="gramEnd"/>
            <w:r w:rsidRPr="00484B40">
              <w:rPr>
                <w:i/>
                <w:iCs/>
                <w:color w:val="FF0000"/>
              </w:rPr>
              <w:t xml:space="preserve"> whether there will be an impact on when a benefit will be realised; who will realise the benefit; the extent to which the benefit will be realised. </w:t>
            </w:r>
          </w:p>
          <w:p w14:paraId="5260C029" w14:textId="77777777" w:rsidR="00643F46" w:rsidRPr="00D2357E" w:rsidRDefault="00C70852" w:rsidP="00C70852">
            <w:pPr>
              <w:pStyle w:val="MHHSBody"/>
              <w:rPr>
                <w:i/>
                <w:iCs/>
                <w:color w:val="5161FC" w:themeColor="accent1"/>
              </w:rPr>
            </w:pPr>
            <w:r w:rsidRPr="00484B40">
              <w:rPr>
                <w:i/>
                <w:iCs/>
                <w:color w:val="FF0000"/>
              </w:rPr>
              <w:t xml:space="preserve">Where possible, contextual information should be included </w:t>
            </w:r>
            <w:proofErr w:type="gramStart"/>
            <w:r w:rsidRPr="00484B40">
              <w:rPr>
                <w:i/>
                <w:iCs/>
                <w:color w:val="FF0000"/>
              </w:rPr>
              <w:t>e.g.</w:t>
            </w:r>
            <w:proofErr w:type="gramEnd"/>
            <w:r w:rsidRPr="00484B40">
              <w:rPr>
                <w:i/>
                <w:iCs/>
                <w:color w:val="FF0000"/>
              </w:rPr>
              <w:t xml:space="preserve"> the benefit will be delayed by X weeks; the change means Y population will also realise the benefit.</w:t>
            </w:r>
          </w:p>
        </w:tc>
      </w:tr>
      <w:tr w:rsidR="00214B3C" w:rsidRPr="005B7D3A" w14:paraId="1DA9E3E1" w14:textId="77777777" w:rsidTr="004D272C">
        <w:tc>
          <w:tcPr>
            <w:tcW w:w="10536" w:type="dxa"/>
          </w:tcPr>
          <w:p w14:paraId="223A18C7"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29D541F7" w14:textId="77777777" w:rsidR="00CD1DDD" w:rsidRDefault="001A4652" w:rsidP="00214B3C">
            <w:pPr>
              <w:pStyle w:val="MHHSBody"/>
              <w:rPr>
                <w:rFonts w:cstheme="minorHAnsi"/>
                <w:i/>
                <w:iCs/>
                <w:color w:val="041425" w:themeColor="text1"/>
                <w:szCs w:val="20"/>
              </w:rPr>
            </w:pPr>
            <w:r>
              <w:rPr>
                <w:rFonts w:cstheme="minorHAnsi"/>
                <w:i/>
                <w:iCs/>
                <w:color w:val="041425" w:themeColor="text1"/>
                <w:szCs w:val="20"/>
              </w:rPr>
              <w:t>The effect of implementing this CR would be to allow continuity of the BSC Trading Arrangements when the Transition Period begins.</w:t>
            </w:r>
          </w:p>
          <w:p w14:paraId="755078FE" w14:textId="77777777" w:rsidR="00CD1DDD" w:rsidRPr="005B7D3A" w:rsidRDefault="001A4652" w:rsidP="00214B3C">
            <w:pPr>
              <w:pStyle w:val="MHHSBody"/>
              <w:rPr>
                <w:rFonts w:cstheme="minorHAnsi"/>
                <w:i/>
                <w:iCs/>
                <w:color w:val="041425" w:themeColor="text1"/>
                <w:szCs w:val="20"/>
              </w:rPr>
            </w:pPr>
            <w:r>
              <w:rPr>
                <w:rFonts w:cstheme="minorHAnsi"/>
                <w:i/>
                <w:iCs/>
                <w:color w:val="041425" w:themeColor="text1"/>
                <w:szCs w:val="20"/>
              </w:rPr>
              <w:t>The effect of not implementing this CR – and</w:t>
            </w:r>
            <w:r w:rsidR="009D23CF">
              <w:rPr>
                <w:rFonts w:cstheme="minorHAnsi"/>
                <w:i/>
                <w:iCs/>
                <w:color w:val="041425" w:themeColor="text1"/>
                <w:szCs w:val="20"/>
              </w:rPr>
              <w:t>,</w:t>
            </w:r>
            <w:r>
              <w:rPr>
                <w:rFonts w:cstheme="minorHAnsi"/>
                <w:i/>
                <w:iCs/>
                <w:color w:val="041425" w:themeColor="text1"/>
                <w:szCs w:val="20"/>
              </w:rPr>
              <w:t xml:space="preserve"> by implication, not implementing CP1589, would be that there would be no new Market Participant Role Codes available to assign to new Market Participant Roles, which could delay the introduction of new opportunities in the industry.</w:t>
            </w:r>
          </w:p>
          <w:p w14:paraId="2B3EA76E" w14:textId="77777777" w:rsidR="00214B3C" w:rsidRPr="005B7D3A" w:rsidRDefault="00214B3C" w:rsidP="00214B3C">
            <w:pPr>
              <w:pStyle w:val="MHHSBody"/>
              <w:rPr>
                <w:color w:val="041425" w:themeColor="text1"/>
              </w:rPr>
            </w:pPr>
            <w:r w:rsidRPr="005B7D3A">
              <w:rPr>
                <w:color w:val="041425" w:themeColor="text1"/>
                <w:shd w:val="clear" w:color="auto" w:fill="E6E6E6"/>
              </w:rPr>
              <w:fldChar w:fldCharType="begin">
                <w:ffData>
                  <w:name w:val="Text51"/>
                  <w:enabled/>
                  <w:calcOnExit w:val="0"/>
                  <w:textInput/>
                </w:ffData>
              </w:fldChar>
            </w:r>
            <w:bookmarkStart w:id="5" w:name="Text51"/>
            <w:r w:rsidRPr="005B7D3A">
              <w:rPr>
                <w:color w:val="041425" w:themeColor="text1"/>
              </w:rPr>
              <w:instrText xml:space="preserve"> FORMTEXT </w:instrText>
            </w:r>
            <w:r w:rsidR="00000000">
              <w:rPr>
                <w:color w:val="041425" w:themeColor="text1"/>
                <w:shd w:val="clear" w:color="auto" w:fill="E6E6E6"/>
              </w:rPr>
            </w:r>
            <w:r w:rsidR="00000000">
              <w:rPr>
                <w:color w:val="041425" w:themeColor="text1"/>
                <w:shd w:val="clear" w:color="auto" w:fill="E6E6E6"/>
              </w:rPr>
              <w:fldChar w:fldCharType="separate"/>
            </w:r>
            <w:r w:rsidRPr="005B7D3A">
              <w:rPr>
                <w:color w:val="041425" w:themeColor="text1"/>
                <w:shd w:val="clear" w:color="auto" w:fill="E6E6E6"/>
              </w:rPr>
              <w:fldChar w:fldCharType="end"/>
            </w:r>
            <w:bookmarkEnd w:id="5"/>
          </w:p>
        </w:tc>
      </w:tr>
      <w:tr w:rsidR="00AF4AE2" w:rsidRPr="005B7D3A" w14:paraId="76ADDD08" w14:textId="77777777" w:rsidTr="00AF4AE2">
        <w:tc>
          <w:tcPr>
            <w:tcW w:w="10536" w:type="dxa"/>
            <w:shd w:val="clear" w:color="auto" w:fill="F2F2F2" w:themeFill="background1" w:themeFillShade="F2"/>
          </w:tcPr>
          <w:p w14:paraId="1997FC11"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634AF0A5" w14:textId="77777777" w:rsidTr="004D272C">
        <w:tc>
          <w:tcPr>
            <w:tcW w:w="10536" w:type="dxa"/>
          </w:tcPr>
          <w:p w14:paraId="07057957"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780CB4A0"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whether there will be an impact on service delivery to consumers; will there be a cost impact to consumers; will there be a choice impact to consumers? </w:t>
            </w:r>
          </w:p>
          <w:p w14:paraId="1A7A5CE8" w14:textId="77777777" w:rsidR="00AF4AE2" w:rsidRPr="00AB196D" w:rsidRDefault="00AB196D" w:rsidP="00AF4AE2">
            <w:pPr>
              <w:pStyle w:val="MHHSBody"/>
              <w:rPr>
                <w:i/>
                <w:iCs/>
                <w:color w:val="FF0000"/>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sidRPr="006A0471">
              <w:rPr>
                <w:rFonts w:cstheme="minorHAnsi"/>
                <w:i/>
                <w:iCs/>
                <w:color w:val="FF0000"/>
                <w:szCs w:val="20"/>
              </w:rPr>
              <w:t xml:space="preserve"> what is the scale of the effect? Will the effect be permanent?</w:t>
            </w:r>
          </w:p>
        </w:tc>
      </w:tr>
      <w:tr w:rsidR="00AF4AE2" w:rsidRPr="005B7D3A" w14:paraId="4F6C018C" w14:textId="77777777" w:rsidTr="004D272C">
        <w:tc>
          <w:tcPr>
            <w:tcW w:w="10536" w:type="dxa"/>
          </w:tcPr>
          <w:p w14:paraId="4CFEC4E7" w14:textId="77777777" w:rsidR="00AF4AE2" w:rsidRPr="005B7D3A" w:rsidRDefault="00AF4AE2" w:rsidP="00AF4AE2">
            <w:pPr>
              <w:pStyle w:val="MHHSBody"/>
              <w:rPr>
                <w:b/>
                <w:bCs/>
                <w:color w:val="041425" w:themeColor="text1"/>
                <w:u w:val="single"/>
              </w:rPr>
            </w:pPr>
            <w:r w:rsidRPr="005B7D3A">
              <w:rPr>
                <w:b/>
                <w:bCs/>
                <w:color w:val="041425" w:themeColor="text1"/>
                <w:u w:val="single"/>
              </w:rPr>
              <w:lastRenderedPageBreak/>
              <w:t>Effect on schedule</w:t>
            </w:r>
          </w:p>
          <w:p w14:paraId="64D4BF63" w14:textId="77777777" w:rsidR="00AF4AE2" w:rsidRPr="005B7D3A" w:rsidRDefault="008E7B33" w:rsidP="00AF4AE2">
            <w:pPr>
              <w:pStyle w:val="MHHSBody"/>
              <w:rPr>
                <w:rFonts w:cstheme="minorHAnsi"/>
                <w:i/>
                <w:iCs/>
                <w:color w:val="041425" w:themeColor="text1"/>
                <w:szCs w:val="20"/>
              </w:rPr>
            </w:pPr>
            <w:r>
              <w:rPr>
                <w:rFonts w:cstheme="minorHAnsi"/>
                <w:i/>
                <w:iCs/>
                <w:color w:val="041425" w:themeColor="text1"/>
                <w:szCs w:val="20"/>
              </w:rPr>
              <w:t xml:space="preserve">Subject to confirmation from Helix WP3, </w:t>
            </w:r>
            <w:proofErr w:type="spellStart"/>
            <w:r>
              <w:rPr>
                <w:rFonts w:cstheme="minorHAnsi"/>
                <w:i/>
                <w:iCs/>
                <w:color w:val="041425" w:themeColor="text1"/>
                <w:szCs w:val="20"/>
              </w:rPr>
              <w:t>BSCCo’s</w:t>
            </w:r>
            <w:proofErr w:type="spellEnd"/>
            <w:r>
              <w:rPr>
                <w:rFonts w:cstheme="minorHAnsi"/>
                <w:i/>
                <w:iCs/>
                <w:color w:val="041425" w:themeColor="text1"/>
                <w:szCs w:val="20"/>
              </w:rPr>
              <w:t xml:space="preserve"> expectation is that this change could be made to the ISD Entities and ISD Management System without a significant adverse impact on major Helix Programme milestones. This is because CP1589 is a ‘facilitating’ CP – i.e. it will introduce changes to systems and processes that would allow a </w:t>
            </w:r>
            <w:proofErr w:type="gramStart"/>
            <w:r>
              <w:rPr>
                <w:rFonts w:cstheme="minorHAnsi"/>
                <w:i/>
                <w:iCs/>
                <w:color w:val="041425" w:themeColor="text1"/>
                <w:szCs w:val="20"/>
              </w:rPr>
              <w:t>Char(</w:t>
            </w:r>
            <w:proofErr w:type="gramEnd"/>
            <w:r>
              <w:rPr>
                <w:rFonts w:cstheme="minorHAnsi"/>
                <w:i/>
                <w:iCs/>
                <w:color w:val="041425" w:themeColor="text1"/>
                <w:szCs w:val="20"/>
              </w:rPr>
              <w:t>2) Role Code to be assigned in the future – but it does not actually introduce any new Char(2) Market Roles.</w:t>
            </w:r>
          </w:p>
          <w:p w14:paraId="50BF2144" w14:textId="77777777" w:rsidR="00AF4AE2" w:rsidRPr="005B7D3A" w:rsidRDefault="00AF4AE2" w:rsidP="00AF4AE2">
            <w:pPr>
              <w:pStyle w:val="MHHSBody"/>
              <w:rPr>
                <w:color w:val="041425" w:themeColor="text1"/>
                <w:u w:val="single"/>
              </w:rPr>
            </w:pPr>
          </w:p>
        </w:tc>
      </w:tr>
      <w:tr w:rsidR="00AF4AE2" w:rsidRPr="005B7D3A" w14:paraId="54EC00C2" w14:textId="77777777" w:rsidTr="072F2146">
        <w:tc>
          <w:tcPr>
            <w:tcW w:w="10536" w:type="dxa"/>
            <w:shd w:val="clear" w:color="auto" w:fill="F2F2F2" w:themeFill="background2" w:themeFillShade="F2"/>
          </w:tcPr>
          <w:p w14:paraId="7D843B83" w14:textId="77777777"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6F87F8AA" w14:textId="77777777" w:rsidTr="009056D8">
        <w:tc>
          <w:tcPr>
            <w:tcW w:w="10536" w:type="dxa"/>
            <w:shd w:val="clear" w:color="auto" w:fill="FFFFFF" w:themeFill="background1"/>
          </w:tcPr>
          <w:p w14:paraId="7CE5E92A"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1B2EF688"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w:t>
            </w:r>
            <w:proofErr w:type="gramStart"/>
            <w:r w:rsidRPr="006A0471">
              <w:rPr>
                <w:rFonts w:cstheme="minorHAnsi"/>
                <w:i/>
                <w:iCs/>
                <w:color w:val="FF0000"/>
                <w:szCs w:val="20"/>
              </w:rPr>
              <w:t>e.g.</w:t>
            </w:r>
            <w:proofErr w:type="gramEnd"/>
            <w:r w:rsidRPr="006A0471">
              <w:rPr>
                <w:rFonts w:cstheme="minorHAnsi"/>
                <w:i/>
                <w:iCs/>
                <w:color w:val="FF0000"/>
                <w:szCs w:val="20"/>
              </w:rPr>
              <w:t xml:space="preserve"> will the schedule/milestones be directly impacted; will the schedule/milestones be indirectly impacted. </w:t>
            </w:r>
          </w:p>
          <w:p w14:paraId="73B48610" w14:textId="77777777" w:rsidR="009056D8" w:rsidRPr="005B7D3A" w:rsidRDefault="00F86A0D" w:rsidP="00F86A0D">
            <w:pPr>
              <w:pStyle w:val="MHHSBody"/>
              <w:rPr>
                <w:i/>
                <w:iCs/>
                <w:color w:val="041425" w:themeColor="text1"/>
              </w:rPr>
            </w:pPr>
            <w:r w:rsidRPr="006A0471">
              <w:rPr>
                <w:rFonts w:cstheme="minorHAnsi"/>
                <w:i/>
                <w:iCs/>
                <w:color w:val="FF0000"/>
                <w:szCs w:val="20"/>
              </w:rPr>
              <w:t xml:space="preserve">Where possible, contextual information should be included </w:t>
            </w:r>
            <w:proofErr w:type="gramStart"/>
            <w:r w:rsidRPr="006A0471">
              <w:rPr>
                <w:rFonts w:cstheme="minorHAnsi"/>
                <w:i/>
                <w:iCs/>
                <w:color w:val="FF0000"/>
                <w:szCs w:val="20"/>
              </w:rPr>
              <w:t>e.g.</w:t>
            </w:r>
            <w:proofErr w:type="gramEnd"/>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4BED9A2C" w14:textId="77777777" w:rsidTr="004D272C">
        <w:tc>
          <w:tcPr>
            <w:tcW w:w="10536" w:type="dxa"/>
          </w:tcPr>
          <w:p w14:paraId="4E5B7E54" w14:textId="77777777"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270A3E00" w14:textId="77777777" w:rsidR="009056D8" w:rsidRPr="005B7D3A" w:rsidRDefault="00902B0A" w:rsidP="009056D8">
            <w:pPr>
              <w:pStyle w:val="MHHSBody"/>
              <w:rPr>
                <w:b/>
                <w:bCs/>
                <w:color w:val="041425" w:themeColor="text1"/>
              </w:rPr>
            </w:pPr>
            <w:r>
              <w:rPr>
                <w:rFonts w:cstheme="minorHAnsi"/>
                <w:i/>
                <w:iCs/>
                <w:color w:val="041425" w:themeColor="text1"/>
                <w:szCs w:val="20"/>
              </w:rPr>
              <w:t>The</w:t>
            </w:r>
            <w:r w:rsidR="00186620">
              <w:rPr>
                <w:rFonts w:cstheme="minorHAnsi"/>
                <w:i/>
                <w:iCs/>
                <w:color w:val="041425" w:themeColor="text1"/>
                <w:szCs w:val="20"/>
              </w:rPr>
              <w:t xml:space="preserve"> cost</w:t>
            </w:r>
            <w:r>
              <w:rPr>
                <w:rFonts w:cstheme="minorHAnsi"/>
                <w:i/>
                <w:iCs/>
                <w:color w:val="041425" w:themeColor="text1"/>
                <w:szCs w:val="20"/>
              </w:rPr>
              <w:t xml:space="preserve"> impact on ISD and Helix will need to be assessed as part of this CR.</w:t>
            </w:r>
          </w:p>
          <w:p w14:paraId="4EF9458A" w14:textId="77777777"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407F1BA1" w14:textId="77777777" w:rsidTr="002E3B9C">
        <w:tc>
          <w:tcPr>
            <w:tcW w:w="10536" w:type="dxa"/>
            <w:shd w:val="clear" w:color="auto" w:fill="F2F2F2" w:themeFill="background1" w:themeFillShade="F2"/>
          </w:tcPr>
          <w:p w14:paraId="7540580F"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3C469B3D" w14:textId="77777777" w:rsidTr="004D272C">
        <w:tc>
          <w:tcPr>
            <w:tcW w:w="10536" w:type="dxa"/>
          </w:tcPr>
          <w:p w14:paraId="6753C3C8"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138AB6C3"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w:t>
            </w:r>
            <w:proofErr w:type="gramStart"/>
            <w:r w:rsidRPr="00A441CE">
              <w:rPr>
                <w:i/>
                <w:iCs/>
                <w:color w:val="FF0000"/>
              </w:rPr>
              <w:t>e.g.</w:t>
            </w:r>
            <w:proofErr w:type="gramEnd"/>
            <w:r w:rsidRPr="00A441CE">
              <w:rPr>
                <w:i/>
                <w:iCs/>
                <w:color w:val="FF0000"/>
              </w:rPr>
              <w:t xml:space="preserve"> will the change cause a loss of income; will the change cause additional cost; will the change cause a reprofiling of cost? </w:t>
            </w:r>
          </w:p>
          <w:p w14:paraId="4B9207EB" w14:textId="77777777" w:rsidR="002E3B9C" w:rsidRPr="005B7D3A" w:rsidRDefault="001E621D" w:rsidP="001E621D">
            <w:pPr>
              <w:pStyle w:val="MHHSBody"/>
              <w:rPr>
                <w:b/>
                <w:bCs/>
                <w:color w:val="041425" w:themeColor="text1"/>
                <w:u w:val="single"/>
              </w:rPr>
            </w:pPr>
            <w:r w:rsidRPr="00A441CE">
              <w:rPr>
                <w:i/>
                <w:iCs/>
                <w:color w:val="FF0000"/>
              </w:rPr>
              <w:t xml:space="preserve">Where possible, contextual information should be included </w:t>
            </w:r>
            <w:proofErr w:type="gramStart"/>
            <w:r w:rsidRPr="00A441CE">
              <w:rPr>
                <w:i/>
                <w:iCs/>
                <w:color w:val="FF0000"/>
              </w:rPr>
              <w:t>e.g.</w:t>
            </w:r>
            <w:proofErr w:type="gramEnd"/>
            <w:r w:rsidRPr="00A441CE">
              <w:rPr>
                <w:i/>
                <w:iCs/>
                <w:color w:val="FF0000"/>
              </w:rPr>
              <w:t xml:space="preserve"> whether it is capital or operating expenditure that will be affected; what period costs will be affected in; what the rough order of magnitude of the cost impact will be and if organisation will be able to absorb it?</w:t>
            </w:r>
          </w:p>
        </w:tc>
      </w:tr>
      <w:tr w:rsidR="002E3B9C" w:rsidRPr="005B7D3A" w14:paraId="1A68A0FD" w14:textId="77777777" w:rsidTr="004D272C">
        <w:tc>
          <w:tcPr>
            <w:tcW w:w="10536" w:type="dxa"/>
          </w:tcPr>
          <w:p w14:paraId="7BBE36F8"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4B4FB0B1" w14:textId="77777777" w:rsidR="002E3B9C" w:rsidRPr="005B7D3A" w:rsidRDefault="00902B0A" w:rsidP="002E3B9C">
            <w:pPr>
              <w:pStyle w:val="MHHSBody"/>
              <w:rPr>
                <w:rFonts w:cstheme="minorHAnsi"/>
                <w:i/>
                <w:iCs/>
                <w:color w:val="041425" w:themeColor="text1"/>
                <w:szCs w:val="20"/>
              </w:rPr>
            </w:pPr>
            <w:r>
              <w:rPr>
                <w:rFonts w:cstheme="minorHAnsi"/>
                <w:i/>
                <w:iCs/>
                <w:color w:val="041425" w:themeColor="text1"/>
                <w:szCs w:val="20"/>
              </w:rPr>
              <w:t xml:space="preserve"> The impact on ISD and Helix will need to be assessed as part of this CR.</w:t>
            </w:r>
          </w:p>
          <w:p w14:paraId="4B3A6605" w14:textId="77777777" w:rsidR="002E3B9C" w:rsidRPr="005B7D3A" w:rsidRDefault="002E3B9C" w:rsidP="002E3B9C">
            <w:pPr>
              <w:pStyle w:val="MHHSBody"/>
              <w:rPr>
                <w:color w:val="041425" w:themeColor="text1"/>
              </w:rPr>
            </w:pPr>
          </w:p>
        </w:tc>
      </w:tr>
      <w:tr w:rsidR="00175E89" w:rsidRPr="005B7D3A" w14:paraId="5DA46782" w14:textId="77777777" w:rsidTr="00D03854">
        <w:tc>
          <w:tcPr>
            <w:tcW w:w="10536" w:type="dxa"/>
            <w:shd w:val="clear" w:color="auto" w:fill="F2F2F2" w:themeFill="background1" w:themeFillShade="F2"/>
          </w:tcPr>
          <w:p w14:paraId="3AF4D537"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85519E7" w14:textId="77777777" w:rsidTr="004D272C">
        <w:tc>
          <w:tcPr>
            <w:tcW w:w="10536" w:type="dxa"/>
          </w:tcPr>
          <w:p w14:paraId="0723DFD7"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064EE704"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there be an impact on tools or equipment; will there be an impact on staff capacity; will there be an impact on staff skills or capability? </w:t>
            </w:r>
          </w:p>
          <w:p w14:paraId="1C0148DD"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require X additional staff for Y period of time; the change requires Z training or support.</w:t>
            </w:r>
          </w:p>
        </w:tc>
      </w:tr>
      <w:tr w:rsidR="002E3B9C" w:rsidRPr="005B7D3A" w14:paraId="35ED46FE" w14:textId="77777777" w:rsidTr="004D272C">
        <w:tc>
          <w:tcPr>
            <w:tcW w:w="10536" w:type="dxa"/>
          </w:tcPr>
          <w:p w14:paraId="73CFA807"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006E1127" w14:textId="77777777" w:rsidR="002E3B9C" w:rsidRPr="005B7D3A" w:rsidRDefault="00186620" w:rsidP="002E3B9C">
            <w:pPr>
              <w:pStyle w:val="MHHSBody"/>
              <w:rPr>
                <w:rFonts w:cstheme="minorHAnsi"/>
                <w:i/>
                <w:iCs/>
                <w:color w:val="041425" w:themeColor="text1"/>
                <w:szCs w:val="20"/>
              </w:rPr>
            </w:pPr>
            <w:r>
              <w:rPr>
                <w:rFonts w:cstheme="minorHAnsi"/>
                <w:i/>
                <w:iCs/>
                <w:color w:val="041425" w:themeColor="text1"/>
                <w:szCs w:val="20"/>
              </w:rPr>
              <w:t>None</w:t>
            </w:r>
          </w:p>
          <w:p w14:paraId="1994BB58" w14:textId="77777777" w:rsidR="002E3B9C" w:rsidRPr="005B7D3A" w:rsidRDefault="002E3B9C" w:rsidP="002E3B9C">
            <w:pPr>
              <w:pStyle w:val="MHHSBody"/>
              <w:rPr>
                <w:rFonts w:cstheme="minorHAnsi"/>
                <w:i/>
                <w:iCs/>
                <w:color w:val="041425" w:themeColor="text1"/>
                <w:szCs w:val="20"/>
              </w:rPr>
            </w:pPr>
          </w:p>
          <w:p w14:paraId="79E3DEF5" w14:textId="77777777" w:rsidR="002E3B9C" w:rsidRPr="005B7D3A" w:rsidRDefault="002E3B9C" w:rsidP="002E3B9C">
            <w:pPr>
              <w:pStyle w:val="MHHSBody"/>
              <w:rPr>
                <w:rFonts w:cstheme="minorHAnsi"/>
                <w:i/>
                <w:iCs/>
                <w:color w:val="041425" w:themeColor="text1"/>
                <w:szCs w:val="20"/>
              </w:rPr>
            </w:pPr>
          </w:p>
        </w:tc>
      </w:tr>
      <w:tr w:rsidR="00D03854" w:rsidRPr="005B7D3A" w14:paraId="45FEC7F8" w14:textId="77777777" w:rsidTr="00D03854">
        <w:tc>
          <w:tcPr>
            <w:tcW w:w="10536" w:type="dxa"/>
            <w:shd w:val="clear" w:color="auto" w:fill="F2F2F2" w:themeFill="background1" w:themeFillShade="F2"/>
          </w:tcPr>
          <w:p w14:paraId="6AC9423B"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4289833F" w14:textId="77777777" w:rsidTr="004D272C">
        <w:tc>
          <w:tcPr>
            <w:tcW w:w="10536" w:type="dxa"/>
          </w:tcPr>
          <w:p w14:paraId="5A4A5C92"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71CE20F5"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lastRenderedPageBreak/>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whether there will be an impact on contracts with sub-contractors; whether there will be an impact on contracts with vendors; whether there will be an impact on contracts with regulators/ESO. </w:t>
            </w:r>
          </w:p>
          <w:p w14:paraId="0BD341A1"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changes will require new contracts to be created; the changes will variations to existing contracts; the changes will affect ability to meet contract requirements.</w:t>
            </w:r>
          </w:p>
        </w:tc>
      </w:tr>
      <w:tr w:rsidR="002E3B9C" w:rsidRPr="005B7D3A" w14:paraId="52AA2F62" w14:textId="77777777" w:rsidTr="004D272C">
        <w:tc>
          <w:tcPr>
            <w:tcW w:w="10536" w:type="dxa"/>
          </w:tcPr>
          <w:p w14:paraId="307CE5D9" w14:textId="77777777"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428A8721" w14:textId="77777777" w:rsidR="002E3B9C" w:rsidRPr="00F35512" w:rsidRDefault="00186620" w:rsidP="00F35512">
            <w:pPr>
              <w:pStyle w:val="CommentText"/>
            </w:pPr>
            <w:r>
              <w:t xml:space="preserve">Risk to Programme timelines due to late </w:t>
            </w:r>
            <w:r w:rsidR="00F35512">
              <w:t>addition to the</w:t>
            </w:r>
            <w:r>
              <w:t xml:space="preserve"> scope – however, this risk is not expected to impact ma</w:t>
            </w:r>
            <w:r w:rsidR="00F35512">
              <w:t>jor milestones.</w:t>
            </w:r>
          </w:p>
          <w:p w14:paraId="576ED9E6" w14:textId="77777777" w:rsidR="002E3B9C" w:rsidRPr="005B7D3A" w:rsidRDefault="002E3B9C" w:rsidP="002E3B9C">
            <w:pPr>
              <w:pStyle w:val="MHHSBody"/>
              <w:rPr>
                <w:color w:val="041425" w:themeColor="text1"/>
                <w:u w:val="single"/>
              </w:rPr>
            </w:pPr>
          </w:p>
        </w:tc>
      </w:tr>
      <w:tr w:rsidR="00A118D8" w:rsidRPr="005B7D3A" w14:paraId="2B21E60E" w14:textId="77777777" w:rsidTr="00A118D8">
        <w:tc>
          <w:tcPr>
            <w:tcW w:w="10536" w:type="dxa"/>
            <w:shd w:val="clear" w:color="auto" w:fill="F2F2F2" w:themeFill="background1" w:themeFillShade="F2"/>
          </w:tcPr>
          <w:p w14:paraId="65E8B2D8"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1DD5EAA5" w14:textId="77777777" w:rsidTr="004D272C">
        <w:tc>
          <w:tcPr>
            <w:tcW w:w="10536" w:type="dxa"/>
          </w:tcPr>
          <w:p w14:paraId="4E837BE7"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25353E70"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w:t>
            </w:r>
            <w:proofErr w:type="gramStart"/>
            <w:r w:rsidRPr="00A441CE">
              <w:rPr>
                <w:rFonts w:cstheme="minorHAnsi"/>
                <w:i/>
                <w:iCs/>
                <w:color w:val="FF0000"/>
                <w:szCs w:val="20"/>
              </w:rPr>
              <w:t>e.g.</w:t>
            </w:r>
            <w:proofErr w:type="gramEnd"/>
            <w:r w:rsidRPr="00A441CE">
              <w:rPr>
                <w:rFonts w:cstheme="minorHAnsi"/>
                <w:i/>
                <w:iCs/>
                <w:color w:val="FF0000"/>
                <w:szCs w:val="20"/>
              </w:rPr>
              <w:t xml:space="preserve"> will existing risks be affected; will new risks be created?</w:t>
            </w:r>
          </w:p>
          <w:p w14:paraId="06A90949"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 xml:space="preserve">Where possible, contextual information should be included </w:t>
            </w:r>
            <w:proofErr w:type="gramStart"/>
            <w:r w:rsidRPr="00A441CE">
              <w:rPr>
                <w:rFonts w:cstheme="minorHAnsi"/>
                <w:i/>
                <w:iCs/>
                <w:color w:val="FF0000"/>
                <w:szCs w:val="20"/>
              </w:rPr>
              <w:t>e.g.</w:t>
            </w:r>
            <w:proofErr w:type="gramEnd"/>
            <w:r w:rsidRPr="00A441CE">
              <w:rPr>
                <w:rFonts w:cstheme="minorHAnsi"/>
                <w:i/>
                <w:iCs/>
                <w:color w:val="FF0000"/>
                <w:szCs w:val="20"/>
              </w:rPr>
              <w:t xml:space="preserve"> the change will affect the likelihood of a risk occurring, the change will affect the impact the risk would have, the change will require additional controls and mitigation.</w:t>
            </w:r>
          </w:p>
        </w:tc>
      </w:tr>
    </w:tbl>
    <w:p w14:paraId="32978D77" w14:textId="77777777" w:rsidR="00D4141A" w:rsidRDefault="00D4141A"/>
    <w:p w14:paraId="7B1AD9AE"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501DE50A"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25E8A200"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689BAD05"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193BD7A3"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37497C8C"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6778FA2F" w14:textId="77777777" w:rsidTr="00861AA9">
        <w:trPr>
          <w:trHeight w:val="1158"/>
        </w:trPr>
        <w:tc>
          <w:tcPr>
            <w:tcW w:w="10536" w:type="dxa"/>
            <w:shd w:val="clear" w:color="auto" w:fill="FFFFFF" w:themeFill="background1"/>
          </w:tcPr>
          <w:p w14:paraId="27CC3459"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600113A5" w14:textId="77777777"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245B8E90"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6"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6"/>
          </w:p>
        </w:tc>
      </w:tr>
      <w:tr w:rsidR="00A43600" w:rsidRPr="005B7D3A" w14:paraId="7D6D9709" w14:textId="77777777" w:rsidTr="00A43600">
        <w:tc>
          <w:tcPr>
            <w:tcW w:w="10536" w:type="dxa"/>
            <w:shd w:val="clear" w:color="auto" w:fill="F2F2F2" w:themeFill="background1" w:themeFillShade="F2"/>
          </w:tcPr>
          <w:p w14:paraId="2722CF0B"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52C89546" w14:textId="77777777" w:rsidTr="004D272C">
        <w:tc>
          <w:tcPr>
            <w:tcW w:w="10536" w:type="dxa"/>
          </w:tcPr>
          <w:p w14:paraId="70481D64" w14:textId="77777777" w:rsidR="004B4B3C" w:rsidRDefault="004B4B3C" w:rsidP="00DB454A">
            <w:pPr>
              <w:pStyle w:val="MHHSBody"/>
              <w:rPr>
                <w:rFonts w:cstheme="minorHAnsi"/>
                <w:i/>
                <w:iCs/>
                <w:color w:val="FF0000"/>
                <w:szCs w:val="20"/>
              </w:rPr>
            </w:pPr>
          </w:p>
          <w:p w14:paraId="199C7F8A"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23D58E80" w14:textId="77777777" w:rsidR="00A43600" w:rsidRPr="005B7D3A" w:rsidRDefault="00A43600" w:rsidP="00A43600">
            <w:pPr>
              <w:pStyle w:val="MHHSBody"/>
              <w:rPr>
                <w:b/>
                <w:bCs/>
                <w:color w:val="041425" w:themeColor="text1"/>
                <w:u w:val="single"/>
              </w:rPr>
            </w:pPr>
          </w:p>
        </w:tc>
      </w:tr>
    </w:tbl>
    <w:p w14:paraId="741370EC" w14:textId="77777777" w:rsidR="007D0604" w:rsidRPr="005B7D3A" w:rsidRDefault="007D0604" w:rsidP="00D25E17">
      <w:pPr>
        <w:pStyle w:val="MHHSBody"/>
        <w:rPr>
          <w:b/>
          <w:bCs/>
          <w:color w:val="5161FC" w:themeColor="accent1"/>
        </w:rPr>
      </w:pPr>
    </w:p>
    <w:p w14:paraId="28E00D6A"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366F62C4" w14:textId="77777777" w:rsidR="00147E8F" w:rsidRPr="005B7D3A" w:rsidRDefault="00147E8F" w:rsidP="00147E8F">
      <w:pPr>
        <w:rPr>
          <w:rFonts w:cstheme="minorHAnsi"/>
          <w:b/>
          <w:color w:val="5161FC" w:themeColor="accent1"/>
          <w:szCs w:val="20"/>
        </w:rPr>
      </w:pPr>
    </w:p>
    <w:p w14:paraId="6A2CC913"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32ACFDE" w14:textId="77777777" w:rsidR="00147E8F" w:rsidRPr="005B7D3A" w:rsidRDefault="00147E8F" w:rsidP="00147E8F">
      <w:pPr>
        <w:pStyle w:val="MHHSBody"/>
        <w:rPr>
          <w:rFonts w:cstheme="minorHAnsi"/>
          <w:b/>
          <w:color w:val="5161FC" w:themeColor="accent1"/>
          <w:szCs w:val="20"/>
        </w:rPr>
      </w:pPr>
    </w:p>
    <w:p w14:paraId="2C755C0E"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2D5947D9"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526239A"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3330A7A2"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2E190B89"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6C9BBFC6" w14:textId="77777777" w:rsidR="00E7057C" w:rsidRPr="00294C6A" w:rsidRDefault="00CD1C3D" w:rsidP="005A4D7B">
            <w:pPr>
              <w:pStyle w:val="MHHSBody"/>
              <w:jc w:val="center"/>
            </w:pPr>
            <w:r>
              <w:t xml:space="preserve">Part D - </w:t>
            </w:r>
            <w:r w:rsidR="00E7057C" w:rsidRPr="00294C6A">
              <w:t>Approvals</w:t>
            </w:r>
          </w:p>
        </w:tc>
      </w:tr>
      <w:tr w:rsidR="00E7057C" w14:paraId="424445F2" w14:textId="77777777" w:rsidTr="005A4D7B">
        <w:tc>
          <w:tcPr>
            <w:tcW w:w="10536" w:type="dxa"/>
          </w:tcPr>
          <w:p w14:paraId="11DC634F" w14:textId="77777777" w:rsidR="00E7057C" w:rsidRDefault="00E7057C" w:rsidP="005A4D7B">
            <w:pPr>
              <w:pStyle w:val="MHHSBody"/>
              <w:rPr>
                <w:b/>
                <w:bCs/>
              </w:rPr>
            </w:pPr>
            <w:r>
              <w:rPr>
                <w:b/>
                <w:bCs/>
              </w:rPr>
              <w:t>Decision authority level</w:t>
            </w:r>
          </w:p>
          <w:p w14:paraId="4EDA8DB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317A776C"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7"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7"/>
          </w:p>
        </w:tc>
      </w:tr>
    </w:tbl>
    <w:p w14:paraId="503C3B57" w14:textId="77777777" w:rsidR="00E7057C" w:rsidRDefault="00E7057C" w:rsidP="008602A0">
      <w:pPr>
        <w:pStyle w:val="MHHSBody"/>
        <w:rPr>
          <w:b/>
          <w:bCs/>
          <w:color w:val="5161FC" w:themeColor="accent1"/>
        </w:rPr>
      </w:pPr>
    </w:p>
    <w:p w14:paraId="31BD5E0F"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48CE3D0A"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02737742"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2B088F70" w14:textId="77777777" w:rsidR="003C5731" w:rsidRDefault="003C5731" w:rsidP="003C5731">
            <w:pPr>
              <w:pStyle w:val="MHHSBody"/>
              <w:jc w:val="center"/>
            </w:pPr>
            <w:r>
              <w:t>Part D – Change decision</w:t>
            </w:r>
          </w:p>
        </w:tc>
      </w:tr>
      <w:tr w:rsidR="00121907" w14:paraId="69FDED37" w14:textId="77777777" w:rsidTr="00225CA7">
        <w:tc>
          <w:tcPr>
            <w:tcW w:w="2634" w:type="dxa"/>
            <w:tcBorders>
              <w:left w:val="single" w:sz="4" w:space="0" w:color="auto"/>
              <w:right w:val="single" w:sz="4" w:space="0" w:color="auto"/>
            </w:tcBorders>
            <w:shd w:val="clear" w:color="auto" w:fill="F2F2F2" w:themeFill="background1" w:themeFillShade="F2"/>
          </w:tcPr>
          <w:p w14:paraId="22B2E1F7"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393830B" w14:textId="77777777"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8"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c>
          <w:tcPr>
            <w:tcW w:w="850" w:type="dxa"/>
            <w:gridSpan w:val="2"/>
            <w:tcBorders>
              <w:left w:val="single" w:sz="4" w:space="0" w:color="auto"/>
              <w:right w:val="single" w:sz="4" w:space="0" w:color="auto"/>
            </w:tcBorders>
            <w:shd w:val="clear" w:color="auto" w:fill="F2F2F2" w:themeFill="background1" w:themeFillShade="F2"/>
          </w:tcPr>
          <w:p w14:paraId="0D172453" w14:textId="77777777" w:rsidR="00121907" w:rsidRDefault="002C4C62" w:rsidP="00BB5A03">
            <w:pPr>
              <w:pStyle w:val="MHHSBody"/>
            </w:pPr>
            <w:r>
              <w:t>Date</w:t>
            </w:r>
          </w:p>
        </w:tc>
        <w:tc>
          <w:tcPr>
            <w:tcW w:w="3170" w:type="dxa"/>
            <w:tcBorders>
              <w:left w:val="single" w:sz="4" w:space="0" w:color="auto"/>
              <w:right w:val="single" w:sz="4" w:space="0" w:color="auto"/>
            </w:tcBorders>
          </w:tcPr>
          <w:p w14:paraId="4BD94A23" w14:textId="77777777"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9"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
          </w:p>
        </w:tc>
      </w:tr>
      <w:tr w:rsidR="00121907" w14:paraId="04E6AD20" w14:textId="77777777" w:rsidTr="00225CA7">
        <w:tc>
          <w:tcPr>
            <w:tcW w:w="2634" w:type="dxa"/>
            <w:tcBorders>
              <w:left w:val="single" w:sz="4" w:space="0" w:color="auto"/>
              <w:right w:val="single" w:sz="4" w:space="0" w:color="auto"/>
            </w:tcBorders>
            <w:shd w:val="clear" w:color="auto" w:fill="F2F2F2" w:themeFill="background1" w:themeFillShade="F2"/>
          </w:tcPr>
          <w:p w14:paraId="4D824247" w14:textId="77777777" w:rsidR="00121907" w:rsidRDefault="009205D6" w:rsidP="00BB5A03">
            <w:pPr>
              <w:pStyle w:val="MHHSBody"/>
            </w:pPr>
            <w:r>
              <w:t>Approvers:</w:t>
            </w:r>
          </w:p>
        </w:tc>
        <w:tc>
          <w:tcPr>
            <w:tcW w:w="3882" w:type="dxa"/>
            <w:tcBorders>
              <w:left w:val="single" w:sz="4" w:space="0" w:color="auto"/>
            </w:tcBorders>
          </w:tcPr>
          <w:p w14:paraId="19357BD5" w14:textId="7777777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10"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0"/>
          </w:p>
        </w:tc>
        <w:tc>
          <w:tcPr>
            <w:tcW w:w="850" w:type="dxa"/>
            <w:gridSpan w:val="2"/>
          </w:tcPr>
          <w:p w14:paraId="33DC4C48" w14:textId="77777777" w:rsidR="00121907" w:rsidRDefault="00121907" w:rsidP="00BB5A03">
            <w:pPr>
              <w:pStyle w:val="MHHSBody"/>
            </w:pPr>
          </w:p>
        </w:tc>
        <w:tc>
          <w:tcPr>
            <w:tcW w:w="3170" w:type="dxa"/>
            <w:tcBorders>
              <w:right w:val="single" w:sz="4" w:space="0" w:color="auto"/>
            </w:tcBorders>
          </w:tcPr>
          <w:p w14:paraId="25673EF3" w14:textId="77777777" w:rsidR="00121907" w:rsidRDefault="00121907" w:rsidP="00BB5A03">
            <w:pPr>
              <w:pStyle w:val="MHHSBody"/>
            </w:pPr>
          </w:p>
        </w:tc>
      </w:tr>
      <w:tr w:rsidR="00DD5E3A" w14:paraId="3EF35FB7" w14:textId="77777777" w:rsidTr="00225CA7">
        <w:tc>
          <w:tcPr>
            <w:tcW w:w="2634" w:type="dxa"/>
            <w:tcBorders>
              <w:left w:val="single" w:sz="4" w:space="0" w:color="auto"/>
              <w:right w:val="single" w:sz="4" w:space="0" w:color="auto"/>
            </w:tcBorders>
            <w:shd w:val="clear" w:color="auto" w:fill="F2F2F2" w:themeFill="background1" w:themeFillShade="F2"/>
          </w:tcPr>
          <w:p w14:paraId="208C449F"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403150BE" w14:textId="7777777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11"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1"/>
          </w:p>
        </w:tc>
      </w:tr>
      <w:tr w:rsidR="00DD5E3A" w14:paraId="03CCA968"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19ABCF64"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6F3FF5FC" w14:textId="77777777"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12"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
          </w:p>
        </w:tc>
      </w:tr>
      <w:tr w:rsidR="00F84704" w14:paraId="22571DC4" w14:textId="77777777" w:rsidTr="00F84704">
        <w:tc>
          <w:tcPr>
            <w:tcW w:w="2634" w:type="dxa"/>
            <w:tcBorders>
              <w:left w:val="single" w:sz="4" w:space="0" w:color="auto"/>
              <w:right w:val="single" w:sz="4" w:space="0" w:color="auto"/>
            </w:tcBorders>
            <w:shd w:val="clear" w:color="auto" w:fill="D9D9D9" w:themeFill="background2" w:themeFillShade="D9"/>
          </w:tcPr>
          <w:p w14:paraId="5D8B9AA0"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4FB7CD88"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5954B957"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220F3F9" w14:textId="77777777" w:rsidTr="00EE7F53">
        <w:tc>
          <w:tcPr>
            <w:tcW w:w="2634" w:type="dxa"/>
            <w:tcBorders>
              <w:left w:val="single" w:sz="4" w:space="0" w:color="auto"/>
              <w:right w:val="single" w:sz="4" w:space="0" w:color="auto"/>
            </w:tcBorders>
            <w:shd w:val="clear" w:color="auto" w:fill="auto"/>
          </w:tcPr>
          <w:p w14:paraId="031DB5E8" w14:textId="77777777"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13"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3"/>
          </w:p>
        </w:tc>
        <w:tc>
          <w:tcPr>
            <w:tcW w:w="3951" w:type="dxa"/>
            <w:gridSpan w:val="2"/>
            <w:tcBorders>
              <w:left w:val="single" w:sz="4" w:space="0" w:color="auto"/>
              <w:right w:val="single" w:sz="4" w:space="0" w:color="auto"/>
            </w:tcBorders>
            <w:shd w:val="clear" w:color="auto" w:fill="auto"/>
          </w:tcPr>
          <w:p w14:paraId="25D8469F" w14:textId="77777777"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14"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4"/>
          </w:p>
        </w:tc>
        <w:tc>
          <w:tcPr>
            <w:tcW w:w="3951" w:type="dxa"/>
            <w:gridSpan w:val="2"/>
            <w:tcBorders>
              <w:left w:val="single" w:sz="4" w:space="0" w:color="auto"/>
              <w:right w:val="single" w:sz="4" w:space="0" w:color="auto"/>
            </w:tcBorders>
            <w:shd w:val="clear" w:color="auto" w:fill="auto"/>
          </w:tcPr>
          <w:p w14:paraId="751A0439" w14:textId="77777777"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15"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5"/>
          </w:p>
        </w:tc>
      </w:tr>
      <w:tr w:rsidR="00EE7F53" w14:paraId="0C781E8D" w14:textId="77777777" w:rsidTr="00EE7F53">
        <w:tc>
          <w:tcPr>
            <w:tcW w:w="2634" w:type="dxa"/>
            <w:tcBorders>
              <w:left w:val="single" w:sz="4" w:space="0" w:color="auto"/>
              <w:right w:val="single" w:sz="4" w:space="0" w:color="auto"/>
            </w:tcBorders>
            <w:shd w:val="clear" w:color="auto" w:fill="auto"/>
          </w:tcPr>
          <w:p w14:paraId="453C5546" w14:textId="77777777"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16"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6"/>
          </w:p>
        </w:tc>
        <w:tc>
          <w:tcPr>
            <w:tcW w:w="3951" w:type="dxa"/>
            <w:gridSpan w:val="2"/>
            <w:tcBorders>
              <w:left w:val="single" w:sz="4" w:space="0" w:color="auto"/>
              <w:right w:val="single" w:sz="4" w:space="0" w:color="auto"/>
            </w:tcBorders>
            <w:shd w:val="clear" w:color="auto" w:fill="auto"/>
          </w:tcPr>
          <w:p w14:paraId="36A032A7" w14:textId="77777777"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17"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7"/>
          </w:p>
        </w:tc>
        <w:tc>
          <w:tcPr>
            <w:tcW w:w="3951" w:type="dxa"/>
            <w:gridSpan w:val="2"/>
            <w:tcBorders>
              <w:left w:val="single" w:sz="4" w:space="0" w:color="auto"/>
              <w:right w:val="single" w:sz="4" w:space="0" w:color="auto"/>
            </w:tcBorders>
            <w:shd w:val="clear" w:color="auto" w:fill="auto"/>
          </w:tcPr>
          <w:p w14:paraId="3AC40171" w14:textId="77777777"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18"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r>
      <w:tr w:rsidR="00EE7F53" w14:paraId="2A9A678D" w14:textId="77777777" w:rsidTr="00EE7F53">
        <w:tc>
          <w:tcPr>
            <w:tcW w:w="2634" w:type="dxa"/>
            <w:tcBorders>
              <w:left w:val="single" w:sz="4" w:space="0" w:color="auto"/>
              <w:right w:val="single" w:sz="4" w:space="0" w:color="auto"/>
            </w:tcBorders>
            <w:shd w:val="clear" w:color="auto" w:fill="auto"/>
          </w:tcPr>
          <w:p w14:paraId="7738BA2C" w14:textId="77777777"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19"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c>
          <w:tcPr>
            <w:tcW w:w="3951" w:type="dxa"/>
            <w:gridSpan w:val="2"/>
            <w:tcBorders>
              <w:left w:val="single" w:sz="4" w:space="0" w:color="auto"/>
              <w:right w:val="single" w:sz="4" w:space="0" w:color="auto"/>
            </w:tcBorders>
            <w:shd w:val="clear" w:color="auto" w:fill="auto"/>
          </w:tcPr>
          <w:p w14:paraId="564B179A" w14:textId="77777777"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20"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c>
          <w:tcPr>
            <w:tcW w:w="3951" w:type="dxa"/>
            <w:gridSpan w:val="2"/>
            <w:tcBorders>
              <w:left w:val="single" w:sz="4" w:space="0" w:color="auto"/>
              <w:right w:val="single" w:sz="4" w:space="0" w:color="auto"/>
            </w:tcBorders>
            <w:shd w:val="clear" w:color="auto" w:fill="auto"/>
          </w:tcPr>
          <w:p w14:paraId="19D56542" w14:textId="77777777"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21"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r>
      <w:tr w:rsidR="00EE7F53" w14:paraId="62AD4EFF" w14:textId="77777777" w:rsidTr="00EE7F53">
        <w:tc>
          <w:tcPr>
            <w:tcW w:w="2634" w:type="dxa"/>
            <w:tcBorders>
              <w:left w:val="single" w:sz="4" w:space="0" w:color="auto"/>
              <w:right w:val="single" w:sz="4" w:space="0" w:color="auto"/>
            </w:tcBorders>
            <w:shd w:val="clear" w:color="auto" w:fill="auto"/>
          </w:tcPr>
          <w:p w14:paraId="00834625" w14:textId="77777777"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22"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2"/>
          </w:p>
        </w:tc>
        <w:tc>
          <w:tcPr>
            <w:tcW w:w="3951" w:type="dxa"/>
            <w:gridSpan w:val="2"/>
            <w:tcBorders>
              <w:left w:val="single" w:sz="4" w:space="0" w:color="auto"/>
              <w:right w:val="single" w:sz="4" w:space="0" w:color="auto"/>
            </w:tcBorders>
            <w:shd w:val="clear" w:color="auto" w:fill="auto"/>
          </w:tcPr>
          <w:p w14:paraId="4726BC94" w14:textId="77777777"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23"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3"/>
          </w:p>
        </w:tc>
        <w:tc>
          <w:tcPr>
            <w:tcW w:w="3951" w:type="dxa"/>
            <w:gridSpan w:val="2"/>
            <w:tcBorders>
              <w:left w:val="single" w:sz="4" w:space="0" w:color="auto"/>
              <w:right w:val="single" w:sz="4" w:space="0" w:color="auto"/>
            </w:tcBorders>
            <w:shd w:val="clear" w:color="auto" w:fill="auto"/>
          </w:tcPr>
          <w:p w14:paraId="341D4A04" w14:textId="77777777"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24"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r>
    </w:tbl>
    <w:p w14:paraId="2DBC7AC8" w14:textId="77777777" w:rsidR="00BB5A03" w:rsidRDefault="00BB5A03" w:rsidP="00BB5A03">
      <w:pPr>
        <w:pStyle w:val="MHHSBody"/>
      </w:pPr>
    </w:p>
    <w:p w14:paraId="32BF24F2" w14:textId="77777777" w:rsidR="00162CC1" w:rsidRDefault="00162CC1">
      <w:pPr>
        <w:spacing w:after="160" w:line="259" w:lineRule="auto"/>
        <w:rPr>
          <w:rFonts w:ascii="Arial" w:hAnsi="Arial" w:cs="Arial"/>
          <w:b/>
          <w:bCs/>
          <w:color w:val="5161FC" w:themeColor="accent1"/>
          <w:szCs w:val="20"/>
        </w:rPr>
      </w:pPr>
      <w:r>
        <w:rPr>
          <w:szCs w:val="20"/>
        </w:rPr>
        <w:br w:type="page"/>
      </w:r>
    </w:p>
    <w:p w14:paraId="69F92D08"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174172EF"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44E30B4C"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6D59404"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55353F98" w14:textId="77777777" w:rsidR="00BF3777" w:rsidRDefault="00BF3777" w:rsidP="00BF3777">
            <w:pPr>
              <w:pStyle w:val="MHHSBody"/>
              <w:jc w:val="center"/>
            </w:pPr>
            <w:r>
              <w:t xml:space="preserve">Part </w:t>
            </w:r>
            <w:r w:rsidR="6BCEE888">
              <w:t>E</w:t>
            </w:r>
            <w:r>
              <w:t xml:space="preserve"> – Implementation completion</w:t>
            </w:r>
          </w:p>
        </w:tc>
      </w:tr>
      <w:tr w:rsidR="00BF3777" w14:paraId="6DDCA00E" w14:textId="77777777" w:rsidTr="003A54C8">
        <w:tc>
          <w:tcPr>
            <w:tcW w:w="2634" w:type="dxa"/>
            <w:shd w:val="clear" w:color="auto" w:fill="F2F2F2" w:themeFill="background1" w:themeFillShade="F2"/>
          </w:tcPr>
          <w:p w14:paraId="7A9C4992" w14:textId="77777777" w:rsidR="00BF3777" w:rsidRDefault="00BF3777" w:rsidP="0013406A">
            <w:pPr>
              <w:pStyle w:val="MHHSBody"/>
            </w:pPr>
            <w:r>
              <w:t>Comment</w:t>
            </w:r>
          </w:p>
        </w:tc>
        <w:tc>
          <w:tcPr>
            <w:tcW w:w="4307" w:type="dxa"/>
          </w:tcPr>
          <w:p w14:paraId="58BF6A70" w14:textId="77777777"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25"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5"/>
          </w:p>
        </w:tc>
        <w:tc>
          <w:tcPr>
            <w:tcW w:w="851" w:type="dxa"/>
            <w:shd w:val="clear" w:color="auto" w:fill="F2F2F2" w:themeFill="background1" w:themeFillShade="F2"/>
          </w:tcPr>
          <w:p w14:paraId="42632307" w14:textId="77777777" w:rsidR="00BF3777" w:rsidRDefault="00BF3777" w:rsidP="0013406A">
            <w:pPr>
              <w:pStyle w:val="MHHSBody"/>
            </w:pPr>
            <w:r>
              <w:t>Date</w:t>
            </w:r>
          </w:p>
        </w:tc>
        <w:tc>
          <w:tcPr>
            <w:tcW w:w="2744" w:type="dxa"/>
          </w:tcPr>
          <w:p w14:paraId="7043A34C" w14:textId="77777777"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26"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6"/>
          </w:p>
        </w:tc>
      </w:tr>
    </w:tbl>
    <w:p w14:paraId="43F52642" w14:textId="77777777" w:rsidR="00852507" w:rsidRDefault="00852507" w:rsidP="0013406A">
      <w:pPr>
        <w:pStyle w:val="MHHSBody"/>
        <w:rPr>
          <w:b/>
          <w:bCs/>
        </w:rPr>
      </w:pPr>
    </w:p>
    <w:p w14:paraId="2EC97E7B"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0305F99F"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48EAE2A6"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60070"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B7A97"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07BC167E" w14:textId="77777777" w:rsidTr="005A4D7B">
        <w:tc>
          <w:tcPr>
            <w:tcW w:w="3681" w:type="dxa"/>
            <w:tcBorders>
              <w:top w:val="single" w:sz="4" w:space="0" w:color="auto"/>
            </w:tcBorders>
          </w:tcPr>
          <w:p w14:paraId="7605D471"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58B3E098" w14:textId="77777777" w:rsidR="00852507" w:rsidRPr="00CD1DDD" w:rsidRDefault="00852507" w:rsidP="005A4D7B">
            <w:pPr>
              <w:pStyle w:val="MHHSBody"/>
              <w:jc w:val="center"/>
            </w:pPr>
          </w:p>
        </w:tc>
      </w:tr>
    </w:tbl>
    <w:p w14:paraId="55B78922" w14:textId="77777777" w:rsidR="00852507" w:rsidRDefault="00852507" w:rsidP="0013406A">
      <w:pPr>
        <w:pStyle w:val="MHHSBody"/>
        <w:rPr>
          <w:b/>
          <w:bCs/>
        </w:rPr>
      </w:pPr>
    </w:p>
    <w:p w14:paraId="7D14C161"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204B92E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00A0B323"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0E4ED07B" w14:textId="77777777" w:rsidR="00CA77C4" w:rsidRDefault="00CA77C4" w:rsidP="00CA77C4">
            <w:pPr>
              <w:pStyle w:val="MHHSBody"/>
              <w:jc w:val="center"/>
            </w:pPr>
            <w:r>
              <w:t>References</w:t>
            </w:r>
          </w:p>
        </w:tc>
      </w:tr>
      <w:tr w:rsidR="00CA77C4" w14:paraId="54B86D27" w14:textId="77777777" w:rsidTr="00ED17EB">
        <w:tc>
          <w:tcPr>
            <w:tcW w:w="3512" w:type="dxa"/>
            <w:shd w:val="clear" w:color="auto" w:fill="F2F2F2" w:themeFill="background1" w:themeFillShade="F2"/>
          </w:tcPr>
          <w:p w14:paraId="3004FEE3"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4AB314A5"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532BDC8A" w14:textId="77777777" w:rsidR="00CA77C4" w:rsidRPr="00CA77C4" w:rsidRDefault="00CA77C4" w:rsidP="00CA77C4">
            <w:pPr>
              <w:pStyle w:val="MHHSBody"/>
              <w:jc w:val="center"/>
              <w:rPr>
                <w:b/>
                <w:bCs/>
              </w:rPr>
            </w:pPr>
            <w:r w:rsidRPr="00CA77C4">
              <w:rPr>
                <w:b/>
                <w:bCs/>
              </w:rPr>
              <w:t>Description</w:t>
            </w:r>
          </w:p>
        </w:tc>
      </w:tr>
      <w:tr w:rsidR="00CA77C4" w14:paraId="7A079D67" w14:textId="77777777" w:rsidTr="00CA77C4">
        <w:tc>
          <w:tcPr>
            <w:tcW w:w="3512" w:type="dxa"/>
          </w:tcPr>
          <w:p w14:paraId="424054E6" w14:textId="77777777"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27"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7"/>
          </w:p>
        </w:tc>
        <w:tc>
          <w:tcPr>
            <w:tcW w:w="3512" w:type="dxa"/>
          </w:tcPr>
          <w:p w14:paraId="3905CC54" w14:textId="77777777"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28"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8"/>
          </w:p>
        </w:tc>
        <w:tc>
          <w:tcPr>
            <w:tcW w:w="3512" w:type="dxa"/>
          </w:tcPr>
          <w:p w14:paraId="2E7C8503" w14:textId="77777777"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29"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9"/>
          </w:p>
        </w:tc>
      </w:tr>
      <w:tr w:rsidR="00CA77C4" w14:paraId="15B78650" w14:textId="77777777" w:rsidTr="00CA77C4">
        <w:tc>
          <w:tcPr>
            <w:tcW w:w="3512" w:type="dxa"/>
          </w:tcPr>
          <w:p w14:paraId="112E660B" w14:textId="77777777"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30"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0"/>
          </w:p>
        </w:tc>
        <w:tc>
          <w:tcPr>
            <w:tcW w:w="3512" w:type="dxa"/>
          </w:tcPr>
          <w:p w14:paraId="3C0D5D95" w14:textId="77777777"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31"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c>
        <w:tc>
          <w:tcPr>
            <w:tcW w:w="3512" w:type="dxa"/>
          </w:tcPr>
          <w:p w14:paraId="67CBEFB3" w14:textId="77777777"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32"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2"/>
          </w:p>
        </w:tc>
      </w:tr>
    </w:tbl>
    <w:p w14:paraId="3CA86E33" w14:textId="77777777" w:rsidR="00124C9C" w:rsidRDefault="00124C9C" w:rsidP="001E03F6"/>
    <w:sectPr w:rsidR="00124C9C" w:rsidSect="00124C9C">
      <w:footerReference w:type="default" r:id="rId15"/>
      <w:headerReference w:type="first" r:id="rId16"/>
      <w:footerReference w:type="first" r:id="rId17"/>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2835" w14:textId="77777777" w:rsidR="00F81792" w:rsidRDefault="00F81792" w:rsidP="007F1A2A">
      <w:pPr>
        <w:spacing w:after="0" w:line="240" w:lineRule="auto"/>
      </w:pPr>
      <w:r>
        <w:separator/>
      </w:r>
    </w:p>
  </w:endnote>
  <w:endnote w:type="continuationSeparator" w:id="0">
    <w:p w14:paraId="58BE83FF" w14:textId="77777777" w:rsidR="00F81792" w:rsidRDefault="00F81792" w:rsidP="007F1A2A">
      <w:pPr>
        <w:spacing w:after="0" w:line="240" w:lineRule="auto"/>
      </w:pPr>
      <w:r>
        <w:continuationSeparator/>
      </w:r>
    </w:p>
  </w:endnote>
  <w:endnote w:type="continuationNotice" w:id="1">
    <w:p w14:paraId="23F8923E" w14:textId="77777777" w:rsidR="00F81792" w:rsidRDefault="00F81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4B9703B" w14:textId="77777777" w:rsidR="00AF1E63" w:rsidRPr="00EC05FE" w:rsidRDefault="00AF1E63" w:rsidP="00EC05FE">
            <w:pPr>
              <w:pStyle w:val="Footer"/>
              <w:tabs>
                <w:tab w:val="clear" w:pos="9360"/>
                <w:tab w:val="right" w:pos="10490"/>
              </w:tabs>
            </w:pPr>
            <w:r w:rsidRPr="008345BA">
              <w:t xml:space="preserve">© </w:t>
            </w:r>
            <w:r>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3F3270">
              <w:rPr>
                <w:noProof/>
              </w:rPr>
              <w:t>2023</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1045C2">
              <w:rPr>
                <w:noProof/>
              </w:rPr>
              <w:t>2</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1045C2">
              <w:rPr>
                <w:noProof/>
              </w:rPr>
              <w:t>9</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CBF8" w14:textId="77777777" w:rsidR="00AF1E63" w:rsidRDefault="00AF1E63"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6D2EFE45" wp14:editId="3EDDA0F1">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3F3270">
      <w:rPr>
        <w:noProof/>
      </w:rPr>
      <w:t>2023</w:t>
    </w:r>
    <w:r>
      <w:rPr>
        <w:color w:val="2B579A"/>
        <w:shd w:val="clear" w:color="auto" w:fill="E6E6E6"/>
      </w:rPr>
      <w:fldChar w:fldCharType="end"/>
    </w:r>
    <w:r>
      <w:tab/>
    </w:r>
    <w:r>
      <w:tab/>
    </w:r>
    <w:r>
      <w:tab/>
    </w:r>
  </w:p>
  <w:p w14:paraId="4F66D225" w14:textId="77777777" w:rsidR="00AF1E63" w:rsidRPr="00EC05FE" w:rsidRDefault="00AF1E63"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5EB" w14:textId="77777777" w:rsidR="00F81792" w:rsidRDefault="00F81792" w:rsidP="007F1A2A">
      <w:pPr>
        <w:spacing w:after="0" w:line="240" w:lineRule="auto"/>
      </w:pPr>
      <w:r>
        <w:separator/>
      </w:r>
    </w:p>
  </w:footnote>
  <w:footnote w:type="continuationSeparator" w:id="0">
    <w:p w14:paraId="32A23CE1" w14:textId="77777777" w:rsidR="00F81792" w:rsidRDefault="00F81792" w:rsidP="007F1A2A">
      <w:pPr>
        <w:spacing w:after="0" w:line="240" w:lineRule="auto"/>
      </w:pPr>
      <w:r>
        <w:continuationSeparator/>
      </w:r>
    </w:p>
  </w:footnote>
  <w:footnote w:type="continuationNotice" w:id="1">
    <w:p w14:paraId="30BC62E1" w14:textId="77777777" w:rsidR="00F81792" w:rsidRDefault="00F81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63A5" w14:textId="77777777" w:rsidR="00AF1E63" w:rsidRDefault="00AF1E63" w:rsidP="00EC05FE">
    <w:pPr>
      <w:pStyle w:val="Header"/>
      <w:rPr>
        <w:noProof/>
      </w:rPr>
    </w:pPr>
    <w:r>
      <w:rPr>
        <w:noProof/>
        <w:color w:val="2B579A"/>
        <w:shd w:val="clear" w:color="auto" w:fill="E6E6E6"/>
        <w:lang w:eastAsia="en-GB"/>
      </w:rPr>
      <w:drawing>
        <wp:inline distT="0" distB="0" distL="0" distR="0" wp14:anchorId="27FA5B6E" wp14:editId="4A9264BA">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100752BD" w14:textId="77777777" w:rsidR="00AF1E63" w:rsidRDefault="00AF1E63" w:rsidP="00EC05FE">
    <w:pPr>
      <w:pStyle w:val="Header"/>
      <w:rPr>
        <w:noProof/>
      </w:rPr>
    </w:pPr>
  </w:p>
  <w:p w14:paraId="03FDCD11" w14:textId="77777777" w:rsidR="00AF1E63" w:rsidRDefault="00AF1E63" w:rsidP="00EC05FE">
    <w:pPr>
      <w:pStyle w:val="Header"/>
      <w:rPr>
        <w:noProof/>
      </w:rPr>
    </w:pPr>
  </w:p>
  <w:p w14:paraId="3AB0C5B1" w14:textId="77777777" w:rsidR="00AF1E63" w:rsidRPr="00EC05FE" w:rsidRDefault="00AF1E63"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2D7894"/>
    <w:multiLevelType w:val="hybridMultilevel"/>
    <w:tmpl w:val="732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C87318"/>
    <w:multiLevelType w:val="hybridMultilevel"/>
    <w:tmpl w:val="446648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3"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6"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64103"/>
    <w:multiLevelType w:val="hybridMultilevel"/>
    <w:tmpl w:val="9E0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304AF"/>
    <w:multiLevelType w:val="hybridMultilevel"/>
    <w:tmpl w:val="C61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F7163D9"/>
    <w:multiLevelType w:val="hybridMultilevel"/>
    <w:tmpl w:val="9580FED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533201833">
    <w:abstractNumId w:val="3"/>
  </w:num>
  <w:num w:numId="2" w16cid:durableId="137454428">
    <w:abstractNumId w:val="0"/>
  </w:num>
  <w:num w:numId="3" w16cid:durableId="138425005">
    <w:abstractNumId w:val="11"/>
  </w:num>
  <w:num w:numId="4" w16cid:durableId="1019550390">
    <w:abstractNumId w:val="26"/>
  </w:num>
  <w:num w:numId="5" w16cid:durableId="239683836">
    <w:abstractNumId w:val="4"/>
  </w:num>
  <w:num w:numId="6" w16cid:durableId="151021715">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848178379">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344064383">
    <w:abstractNumId w:val="10"/>
  </w:num>
  <w:num w:numId="9" w16cid:durableId="897126493">
    <w:abstractNumId w:val="28"/>
  </w:num>
  <w:num w:numId="10" w16cid:durableId="524635545">
    <w:abstractNumId w:val="22"/>
  </w:num>
  <w:num w:numId="11" w16cid:durableId="1826585859">
    <w:abstractNumId w:val="30"/>
  </w:num>
  <w:num w:numId="12" w16cid:durableId="1196775720">
    <w:abstractNumId w:val="19"/>
  </w:num>
  <w:num w:numId="13" w16cid:durableId="1843545518">
    <w:abstractNumId w:val="31"/>
  </w:num>
  <w:num w:numId="14" w16cid:durableId="1749767952">
    <w:abstractNumId w:val="7"/>
  </w:num>
  <w:num w:numId="15" w16cid:durableId="573973498">
    <w:abstractNumId w:val="29"/>
  </w:num>
  <w:num w:numId="16" w16cid:durableId="1195383481">
    <w:abstractNumId w:val="27"/>
  </w:num>
  <w:num w:numId="17" w16cid:durableId="171457293">
    <w:abstractNumId w:val="2"/>
  </w:num>
  <w:num w:numId="18" w16cid:durableId="1090086148">
    <w:abstractNumId w:val="5"/>
  </w:num>
  <w:num w:numId="19" w16cid:durableId="1156917452">
    <w:abstractNumId w:val="25"/>
  </w:num>
  <w:num w:numId="20" w16cid:durableId="1541742601">
    <w:abstractNumId w:val="20"/>
  </w:num>
  <w:num w:numId="21" w16cid:durableId="1710688132">
    <w:abstractNumId w:val="16"/>
  </w:num>
  <w:num w:numId="22" w16cid:durableId="1887642368">
    <w:abstractNumId w:val="24"/>
  </w:num>
  <w:num w:numId="23" w16cid:durableId="1771006738">
    <w:abstractNumId w:val="13"/>
  </w:num>
  <w:num w:numId="24" w16cid:durableId="363289908">
    <w:abstractNumId w:val="6"/>
  </w:num>
  <w:num w:numId="25" w16cid:durableId="776172340">
    <w:abstractNumId w:val="8"/>
  </w:num>
  <w:num w:numId="26" w16cid:durableId="222330028">
    <w:abstractNumId w:val="23"/>
  </w:num>
  <w:num w:numId="27" w16cid:durableId="1730110970">
    <w:abstractNumId w:val="14"/>
  </w:num>
  <w:num w:numId="28" w16cid:durableId="13579841">
    <w:abstractNumId w:val="18"/>
  </w:num>
  <w:num w:numId="29" w16cid:durableId="2011247895">
    <w:abstractNumId w:val="12"/>
  </w:num>
  <w:num w:numId="30" w16cid:durableId="563101200">
    <w:abstractNumId w:val="1"/>
  </w:num>
  <w:num w:numId="31" w16cid:durableId="623780018">
    <w:abstractNumId w:val="21"/>
  </w:num>
  <w:num w:numId="32" w16cid:durableId="1458797548">
    <w:abstractNumId w:val="9"/>
  </w:num>
  <w:num w:numId="33" w16cid:durableId="1493637384">
    <w:abstractNumId w:val="17"/>
  </w:num>
  <w:num w:numId="34" w16cid:durableId="50151502">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34C99"/>
    <w:rsid w:val="00040560"/>
    <w:rsid w:val="000425BF"/>
    <w:rsid w:val="00042E0D"/>
    <w:rsid w:val="00047328"/>
    <w:rsid w:val="000534B2"/>
    <w:rsid w:val="00053B5E"/>
    <w:rsid w:val="000551C9"/>
    <w:rsid w:val="00063981"/>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44A"/>
    <w:rsid w:val="000C3EC4"/>
    <w:rsid w:val="000C3F95"/>
    <w:rsid w:val="000C4D49"/>
    <w:rsid w:val="000D0765"/>
    <w:rsid w:val="000D1091"/>
    <w:rsid w:val="000D3B8B"/>
    <w:rsid w:val="000D4A6C"/>
    <w:rsid w:val="000D6539"/>
    <w:rsid w:val="000D7E48"/>
    <w:rsid w:val="000E0749"/>
    <w:rsid w:val="000E0DE1"/>
    <w:rsid w:val="000E304F"/>
    <w:rsid w:val="000E4AEF"/>
    <w:rsid w:val="000E6D75"/>
    <w:rsid w:val="000E734D"/>
    <w:rsid w:val="000F01F4"/>
    <w:rsid w:val="000F0C8D"/>
    <w:rsid w:val="000F73F7"/>
    <w:rsid w:val="00100EFD"/>
    <w:rsid w:val="001032B8"/>
    <w:rsid w:val="00103DE9"/>
    <w:rsid w:val="001045C2"/>
    <w:rsid w:val="001048B4"/>
    <w:rsid w:val="0010639D"/>
    <w:rsid w:val="00107C03"/>
    <w:rsid w:val="00110047"/>
    <w:rsid w:val="00110B00"/>
    <w:rsid w:val="00120AE8"/>
    <w:rsid w:val="00120C8F"/>
    <w:rsid w:val="00121907"/>
    <w:rsid w:val="00124C9C"/>
    <w:rsid w:val="001258AA"/>
    <w:rsid w:val="00125FA2"/>
    <w:rsid w:val="0013406A"/>
    <w:rsid w:val="00134D2E"/>
    <w:rsid w:val="00136310"/>
    <w:rsid w:val="00143EC4"/>
    <w:rsid w:val="00145996"/>
    <w:rsid w:val="00147E8F"/>
    <w:rsid w:val="00151F9B"/>
    <w:rsid w:val="00153100"/>
    <w:rsid w:val="0015587F"/>
    <w:rsid w:val="00161DFF"/>
    <w:rsid w:val="00162CC1"/>
    <w:rsid w:val="00165BBD"/>
    <w:rsid w:val="00171AB1"/>
    <w:rsid w:val="00175E89"/>
    <w:rsid w:val="00182554"/>
    <w:rsid w:val="001837E4"/>
    <w:rsid w:val="00183CBB"/>
    <w:rsid w:val="00183DCE"/>
    <w:rsid w:val="00186620"/>
    <w:rsid w:val="00191168"/>
    <w:rsid w:val="001932DD"/>
    <w:rsid w:val="001944E7"/>
    <w:rsid w:val="00196297"/>
    <w:rsid w:val="00196698"/>
    <w:rsid w:val="001A018B"/>
    <w:rsid w:val="001A0E16"/>
    <w:rsid w:val="001A4652"/>
    <w:rsid w:val="001A6CC0"/>
    <w:rsid w:val="001A7577"/>
    <w:rsid w:val="001A7E27"/>
    <w:rsid w:val="001B1CDB"/>
    <w:rsid w:val="001B2B74"/>
    <w:rsid w:val="001B3F5C"/>
    <w:rsid w:val="001C43A1"/>
    <w:rsid w:val="001C5F8C"/>
    <w:rsid w:val="001D18CF"/>
    <w:rsid w:val="001D43CB"/>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1E4C"/>
    <w:rsid w:val="00247A1C"/>
    <w:rsid w:val="00250039"/>
    <w:rsid w:val="00260CDE"/>
    <w:rsid w:val="002626FA"/>
    <w:rsid w:val="00265B8B"/>
    <w:rsid w:val="0026756E"/>
    <w:rsid w:val="0027332E"/>
    <w:rsid w:val="00275753"/>
    <w:rsid w:val="0027788D"/>
    <w:rsid w:val="002833E1"/>
    <w:rsid w:val="00284F6E"/>
    <w:rsid w:val="002855CB"/>
    <w:rsid w:val="00290224"/>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64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2D40"/>
    <w:rsid w:val="00303B82"/>
    <w:rsid w:val="00305015"/>
    <w:rsid w:val="00310D64"/>
    <w:rsid w:val="00314400"/>
    <w:rsid w:val="0031548E"/>
    <w:rsid w:val="00316246"/>
    <w:rsid w:val="00316D3E"/>
    <w:rsid w:val="00321D61"/>
    <w:rsid w:val="00325B1A"/>
    <w:rsid w:val="003263AE"/>
    <w:rsid w:val="00326AA0"/>
    <w:rsid w:val="0033241F"/>
    <w:rsid w:val="00335A0A"/>
    <w:rsid w:val="00335B30"/>
    <w:rsid w:val="00340C27"/>
    <w:rsid w:val="003411EC"/>
    <w:rsid w:val="00341B12"/>
    <w:rsid w:val="00341E3B"/>
    <w:rsid w:val="00342643"/>
    <w:rsid w:val="003454F7"/>
    <w:rsid w:val="0035150D"/>
    <w:rsid w:val="003546D9"/>
    <w:rsid w:val="00354C8E"/>
    <w:rsid w:val="0036112A"/>
    <w:rsid w:val="00365A87"/>
    <w:rsid w:val="00370C26"/>
    <w:rsid w:val="00371289"/>
    <w:rsid w:val="003723B4"/>
    <w:rsid w:val="00375E65"/>
    <w:rsid w:val="00383384"/>
    <w:rsid w:val="00386DD5"/>
    <w:rsid w:val="0038723A"/>
    <w:rsid w:val="0038771D"/>
    <w:rsid w:val="00393377"/>
    <w:rsid w:val="00393C48"/>
    <w:rsid w:val="0039425C"/>
    <w:rsid w:val="00397CA6"/>
    <w:rsid w:val="003A0677"/>
    <w:rsid w:val="003A13C3"/>
    <w:rsid w:val="003A54C8"/>
    <w:rsid w:val="003A5CB9"/>
    <w:rsid w:val="003A7CFD"/>
    <w:rsid w:val="003B298A"/>
    <w:rsid w:val="003B4E65"/>
    <w:rsid w:val="003B5EC6"/>
    <w:rsid w:val="003C28C6"/>
    <w:rsid w:val="003C5731"/>
    <w:rsid w:val="003C5BD4"/>
    <w:rsid w:val="003C69FE"/>
    <w:rsid w:val="003D0838"/>
    <w:rsid w:val="003D16A6"/>
    <w:rsid w:val="003D3B61"/>
    <w:rsid w:val="003D3C39"/>
    <w:rsid w:val="003D620E"/>
    <w:rsid w:val="003D774C"/>
    <w:rsid w:val="003E389C"/>
    <w:rsid w:val="003F17EB"/>
    <w:rsid w:val="003F3270"/>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1D1A"/>
    <w:rsid w:val="00452A2A"/>
    <w:rsid w:val="00456B64"/>
    <w:rsid w:val="00464E40"/>
    <w:rsid w:val="004704FF"/>
    <w:rsid w:val="00485627"/>
    <w:rsid w:val="00492EA8"/>
    <w:rsid w:val="00495ECC"/>
    <w:rsid w:val="004A2C6F"/>
    <w:rsid w:val="004A39A1"/>
    <w:rsid w:val="004A7A9D"/>
    <w:rsid w:val="004B2ABE"/>
    <w:rsid w:val="004B4B3C"/>
    <w:rsid w:val="004C16B0"/>
    <w:rsid w:val="004C626E"/>
    <w:rsid w:val="004D0669"/>
    <w:rsid w:val="004D272C"/>
    <w:rsid w:val="004D2B8C"/>
    <w:rsid w:val="004D4723"/>
    <w:rsid w:val="004E228E"/>
    <w:rsid w:val="004E39D8"/>
    <w:rsid w:val="004E5557"/>
    <w:rsid w:val="004F0041"/>
    <w:rsid w:val="004F46F4"/>
    <w:rsid w:val="004F5759"/>
    <w:rsid w:val="004F58EF"/>
    <w:rsid w:val="005016E3"/>
    <w:rsid w:val="00502A2D"/>
    <w:rsid w:val="00505C15"/>
    <w:rsid w:val="0051017E"/>
    <w:rsid w:val="005101FE"/>
    <w:rsid w:val="00510E4D"/>
    <w:rsid w:val="005128C7"/>
    <w:rsid w:val="00513D90"/>
    <w:rsid w:val="00514843"/>
    <w:rsid w:val="0051626F"/>
    <w:rsid w:val="00517E3E"/>
    <w:rsid w:val="00522C37"/>
    <w:rsid w:val="00527631"/>
    <w:rsid w:val="00527C76"/>
    <w:rsid w:val="00531ADF"/>
    <w:rsid w:val="00534DD2"/>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13C0"/>
    <w:rsid w:val="00582053"/>
    <w:rsid w:val="005830BA"/>
    <w:rsid w:val="0058313A"/>
    <w:rsid w:val="0058443B"/>
    <w:rsid w:val="00585BA3"/>
    <w:rsid w:val="00586D5C"/>
    <w:rsid w:val="00591B14"/>
    <w:rsid w:val="00593C2D"/>
    <w:rsid w:val="00596C8A"/>
    <w:rsid w:val="00597B89"/>
    <w:rsid w:val="005A08F3"/>
    <w:rsid w:val="005A3D7C"/>
    <w:rsid w:val="005A4D7B"/>
    <w:rsid w:val="005A7D30"/>
    <w:rsid w:val="005B0118"/>
    <w:rsid w:val="005B072C"/>
    <w:rsid w:val="005B7D3A"/>
    <w:rsid w:val="005C1B85"/>
    <w:rsid w:val="005C20E0"/>
    <w:rsid w:val="005C4936"/>
    <w:rsid w:val="005C5880"/>
    <w:rsid w:val="005D0A89"/>
    <w:rsid w:val="005D7769"/>
    <w:rsid w:val="005E3697"/>
    <w:rsid w:val="005E4438"/>
    <w:rsid w:val="005E519C"/>
    <w:rsid w:val="005E56C5"/>
    <w:rsid w:val="005F1DFE"/>
    <w:rsid w:val="005F222C"/>
    <w:rsid w:val="005F79AB"/>
    <w:rsid w:val="005F7FA8"/>
    <w:rsid w:val="00602E7D"/>
    <w:rsid w:val="0060337E"/>
    <w:rsid w:val="00603EFA"/>
    <w:rsid w:val="006043E4"/>
    <w:rsid w:val="00605C83"/>
    <w:rsid w:val="00605FD4"/>
    <w:rsid w:val="006077F9"/>
    <w:rsid w:val="00610B6E"/>
    <w:rsid w:val="00612388"/>
    <w:rsid w:val="0061355C"/>
    <w:rsid w:val="006158EE"/>
    <w:rsid w:val="00624C16"/>
    <w:rsid w:val="00624EDC"/>
    <w:rsid w:val="00627D0E"/>
    <w:rsid w:val="00630CCA"/>
    <w:rsid w:val="00630D4A"/>
    <w:rsid w:val="00631297"/>
    <w:rsid w:val="00636BE6"/>
    <w:rsid w:val="00640DE0"/>
    <w:rsid w:val="00643F46"/>
    <w:rsid w:val="0064408A"/>
    <w:rsid w:val="006461EA"/>
    <w:rsid w:val="00647FAB"/>
    <w:rsid w:val="0065074D"/>
    <w:rsid w:val="00650F39"/>
    <w:rsid w:val="00651F24"/>
    <w:rsid w:val="006524E5"/>
    <w:rsid w:val="00654FBA"/>
    <w:rsid w:val="00655F12"/>
    <w:rsid w:val="00656E14"/>
    <w:rsid w:val="00670C7D"/>
    <w:rsid w:val="00672D21"/>
    <w:rsid w:val="00673F46"/>
    <w:rsid w:val="006741C8"/>
    <w:rsid w:val="00674D12"/>
    <w:rsid w:val="006759FE"/>
    <w:rsid w:val="00686BAD"/>
    <w:rsid w:val="006914E0"/>
    <w:rsid w:val="006A0F37"/>
    <w:rsid w:val="006A2878"/>
    <w:rsid w:val="006A357D"/>
    <w:rsid w:val="006A4877"/>
    <w:rsid w:val="006A57DC"/>
    <w:rsid w:val="006A67F0"/>
    <w:rsid w:val="006A77BD"/>
    <w:rsid w:val="006A7991"/>
    <w:rsid w:val="006B1803"/>
    <w:rsid w:val="006B4454"/>
    <w:rsid w:val="006C00B4"/>
    <w:rsid w:val="006C0A41"/>
    <w:rsid w:val="006C0A75"/>
    <w:rsid w:val="006C5E01"/>
    <w:rsid w:val="006D740E"/>
    <w:rsid w:val="006E2EDD"/>
    <w:rsid w:val="006F0122"/>
    <w:rsid w:val="006F1087"/>
    <w:rsid w:val="006F125E"/>
    <w:rsid w:val="006F7595"/>
    <w:rsid w:val="006F799F"/>
    <w:rsid w:val="007039D5"/>
    <w:rsid w:val="00706626"/>
    <w:rsid w:val="00706920"/>
    <w:rsid w:val="00713F8E"/>
    <w:rsid w:val="007161FF"/>
    <w:rsid w:val="0071691E"/>
    <w:rsid w:val="007211FC"/>
    <w:rsid w:val="0072282A"/>
    <w:rsid w:val="00723EC7"/>
    <w:rsid w:val="00724FA4"/>
    <w:rsid w:val="00727848"/>
    <w:rsid w:val="007344D3"/>
    <w:rsid w:val="00734721"/>
    <w:rsid w:val="007351BE"/>
    <w:rsid w:val="0073660F"/>
    <w:rsid w:val="0073752E"/>
    <w:rsid w:val="00737829"/>
    <w:rsid w:val="007461AD"/>
    <w:rsid w:val="0074756E"/>
    <w:rsid w:val="007560FE"/>
    <w:rsid w:val="007566B1"/>
    <w:rsid w:val="00757B38"/>
    <w:rsid w:val="00757E68"/>
    <w:rsid w:val="00764538"/>
    <w:rsid w:val="00766361"/>
    <w:rsid w:val="007670C9"/>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2B28"/>
    <w:rsid w:val="007C38CF"/>
    <w:rsid w:val="007C413E"/>
    <w:rsid w:val="007C43A5"/>
    <w:rsid w:val="007C4770"/>
    <w:rsid w:val="007C7005"/>
    <w:rsid w:val="007D0604"/>
    <w:rsid w:val="007D3155"/>
    <w:rsid w:val="007D34E2"/>
    <w:rsid w:val="007D78F8"/>
    <w:rsid w:val="007E4398"/>
    <w:rsid w:val="007F1A2A"/>
    <w:rsid w:val="00800DEE"/>
    <w:rsid w:val="00802929"/>
    <w:rsid w:val="00803A0E"/>
    <w:rsid w:val="00804A49"/>
    <w:rsid w:val="0080680C"/>
    <w:rsid w:val="008075A8"/>
    <w:rsid w:val="00810DEF"/>
    <w:rsid w:val="008117C8"/>
    <w:rsid w:val="008133C6"/>
    <w:rsid w:val="008222C3"/>
    <w:rsid w:val="00824F87"/>
    <w:rsid w:val="008306A7"/>
    <w:rsid w:val="0083260C"/>
    <w:rsid w:val="00832C68"/>
    <w:rsid w:val="00832D21"/>
    <w:rsid w:val="00832F59"/>
    <w:rsid w:val="008345BA"/>
    <w:rsid w:val="008409F5"/>
    <w:rsid w:val="00840B1F"/>
    <w:rsid w:val="008479FE"/>
    <w:rsid w:val="008502D7"/>
    <w:rsid w:val="0085152A"/>
    <w:rsid w:val="00852507"/>
    <w:rsid w:val="00853AB2"/>
    <w:rsid w:val="00853D19"/>
    <w:rsid w:val="00857CDC"/>
    <w:rsid w:val="008602A0"/>
    <w:rsid w:val="00860610"/>
    <w:rsid w:val="00860CDE"/>
    <w:rsid w:val="008610C2"/>
    <w:rsid w:val="00861AA9"/>
    <w:rsid w:val="00863415"/>
    <w:rsid w:val="008645DE"/>
    <w:rsid w:val="008661B3"/>
    <w:rsid w:val="00867E08"/>
    <w:rsid w:val="00873683"/>
    <w:rsid w:val="00875B37"/>
    <w:rsid w:val="0087719A"/>
    <w:rsid w:val="00877C33"/>
    <w:rsid w:val="008816F9"/>
    <w:rsid w:val="00892B30"/>
    <w:rsid w:val="008946DB"/>
    <w:rsid w:val="00894F9F"/>
    <w:rsid w:val="008A0C13"/>
    <w:rsid w:val="008A16C2"/>
    <w:rsid w:val="008A2C25"/>
    <w:rsid w:val="008A2ECC"/>
    <w:rsid w:val="008A3ACD"/>
    <w:rsid w:val="008C07D4"/>
    <w:rsid w:val="008C1D48"/>
    <w:rsid w:val="008D0B78"/>
    <w:rsid w:val="008D4068"/>
    <w:rsid w:val="008E2C3D"/>
    <w:rsid w:val="008E7B33"/>
    <w:rsid w:val="008F0321"/>
    <w:rsid w:val="008F4B86"/>
    <w:rsid w:val="008F4F0F"/>
    <w:rsid w:val="00902B0A"/>
    <w:rsid w:val="00903894"/>
    <w:rsid w:val="00904932"/>
    <w:rsid w:val="009056D8"/>
    <w:rsid w:val="0091216C"/>
    <w:rsid w:val="0091604F"/>
    <w:rsid w:val="009205D6"/>
    <w:rsid w:val="00924F48"/>
    <w:rsid w:val="00924FC6"/>
    <w:rsid w:val="00925D57"/>
    <w:rsid w:val="00932214"/>
    <w:rsid w:val="00933D57"/>
    <w:rsid w:val="0093434A"/>
    <w:rsid w:val="009362A2"/>
    <w:rsid w:val="00937090"/>
    <w:rsid w:val="009377EA"/>
    <w:rsid w:val="0094333E"/>
    <w:rsid w:val="0094665D"/>
    <w:rsid w:val="00953FCD"/>
    <w:rsid w:val="009546EB"/>
    <w:rsid w:val="009550AF"/>
    <w:rsid w:val="00957495"/>
    <w:rsid w:val="00960D82"/>
    <w:rsid w:val="00961537"/>
    <w:rsid w:val="0096339A"/>
    <w:rsid w:val="009641B1"/>
    <w:rsid w:val="009751FC"/>
    <w:rsid w:val="00977766"/>
    <w:rsid w:val="009806B6"/>
    <w:rsid w:val="009943F7"/>
    <w:rsid w:val="00996912"/>
    <w:rsid w:val="009A0EA7"/>
    <w:rsid w:val="009A4F56"/>
    <w:rsid w:val="009A5E85"/>
    <w:rsid w:val="009A66FE"/>
    <w:rsid w:val="009A698C"/>
    <w:rsid w:val="009A7AD3"/>
    <w:rsid w:val="009B0522"/>
    <w:rsid w:val="009B1E3D"/>
    <w:rsid w:val="009B5A50"/>
    <w:rsid w:val="009C26A8"/>
    <w:rsid w:val="009C7889"/>
    <w:rsid w:val="009D1D53"/>
    <w:rsid w:val="009D23CF"/>
    <w:rsid w:val="009D5B37"/>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81623"/>
    <w:rsid w:val="00A8178C"/>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5730"/>
    <w:rsid w:val="00AC6743"/>
    <w:rsid w:val="00AD0F81"/>
    <w:rsid w:val="00AD3286"/>
    <w:rsid w:val="00AD42DD"/>
    <w:rsid w:val="00AD4E49"/>
    <w:rsid w:val="00AD50AF"/>
    <w:rsid w:val="00AD6787"/>
    <w:rsid w:val="00AE448F"/>
    <w:rsid w:val="00AF02DC"/>
    <w:rsid w:val="00AF1E63"/>
    <w:rsid w:val="00AF2398"/>
    <w:rsid w:val="00AF4AE2"/>
    <w:rsid w:val="00AF65C8"/>
    <w:rsid w:val="00B0254B"/>
    <w:rsid w:val="00B14091"/>
    <w:rsid w:val="00B142DB"/>
    <w:rsid w:val="00B14826"/>
    <w:rsid w:val="00B20F2E"/>
    <w:rsid w:val="00B33F02"/>
    <w:rsid w:val="00B437F5"/>
    <w:rsid w:val="00B47526"/>
    <w:rsid w:val="00B5112E"/>
    <w:rsid w:val="00B51631"/>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2126"/>
    <w:rsid w:val="00BA3D8A"/>
    <w:rsid w:val="00BA4845"/>
    <w:rsid w:val="00BB22CC"/>
    <w:rsid w:val="00BB51C7"/>
    <w:rsid w:val="00BB5A03"/>
    <w:rsid w:val="00BC030A"/>
    <w:rsid w:val="00BC6F33"/>
    <w:rsid w:val="00BD452B"/>
    <w:rsid w:val="00BD643B"/>
    <w:rsid w:val="00BD7E99"/>
    <w:rsid w:val="00BE26AD"/>
    <w:rsid w:val="00BE34A8"/>
    <w:rsid w:val="00BE35A0"/>
    <w:rsid w:val="00BF3777"/>
    <w:rsid w:val="00BF721F"/>
    <w:rsid w:val="00C01770"/>
    <w:rsid w:val="00C05C6B"/>
    <w:rsid w:val="00C05CD8"/>
    <w:rsid w:val="00C07B56"/>
    <w:rsid w:val="00C100EA"/>
    <w:rsid w:val="00C125E8"/>
    <w:rsid w:val="00C12829"/>
    <w:rsid w:val="00C156B6"/>
    <w:rsid w:val="00C16E52"/>
    <w:rsid w:val="00C2261D"/>
    <w:rsid w:val="00C22ED1"/>
    <w:rsid w:val="00C240C9"/>
    <w:rsid w:val="00C2460B"/>
    <w:rsid w:val="00C2729F"/>
    <w:rsid w:val="00C2751B"/>
    <w:rsid w:val="00C27F09"/>
    <w:rsid w:val="00C31012"/>
    <w:rsid w:val="00C32F6C"/>
    <w:rsid w:val="00C330C3"/>
    <w:rsid w:val="00C335DA"/>
    <w:rsid w:val="00C35658"/>
    <w:rsid w:val="00C36808"/>
    <w:rsid w:val="00C4169B"/>
    <w:rsid w:val="00C42F75"/>
    <w:rsid w:val="00C44422"/>
    <w:rsid w:val="00C4747F"/>
    <w:rsid w:val="00C51C7E"/>
    <w:rsid w:val="00C52AB7"/>
    <w:rsid w:val="00C53E85"/>
    <w:rsid w:val="00C560E5"/>
    <w:rsid w:val="00C57EAE"/>
    <w:rsid w:val="00C62FEC"/>
    <w:rsid w:val="00C65E89"/>
    <w:rsid w:val="00C660BD"/>
    <w:rsid w:val="00C663C8"/>
    <w:rsid w:val="00C66B92"/>
    <w:rsid w:val="00C70663"/>
    <w:rsid w:val="00C70852"/>
    <w:rsid w:val="00C71655"/>
    <w:rsid w:val="00C77B5A"/>
    <w:rsid w:val="00C77EA1"/>
    <w:rsid w:val="00C77F1D"/>
    <w:rsid w:val="00C8188B"/>
    <w:rsid w:val="00C82CFF"/>
    <w:rsid w:val="00C85012"/>
    <w:rsid w:val="00C86C28"/>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2540"/>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4691"/>
    <w:rsid w:val="00D16734"/>
    <w:rsid w:val="00D177E0"/>
    <w:rsid w:val="00D2357E"/>
    <w:rsid w:val="00D259EC"/>
    <w:rsid w:val="00D25E17"/>
    <w:rsid w:val="00D26A04"/>
    <w:rsid w:val="00D27FDF"/>
    <w:rsid w:val="00D30AB8"/>
    <w:rsid w:val="00D31E0A"/>
    <w:rsid w:val="00D33340"/>
    <w:rsid w:val="00D33BA2"/>
    <w:rsid w:val="00D4141A"/>
    <w:rsid w:val="00D51039"/>
    <w:rsid w:val="00D51932"/>
    <w:rsid w:val="00D53C17"/>
    <w:rsid w:val="00D548FF"/>
    <w:rsid w:val="00D573FC"/>
    <w:rsid w:val="00D60178"/>
    <w:rsid w:val="00D61EB0"/>
    <w:rsid w:val="00D70274"/>
    <w:rsid w:val="00D70A75"/>
    <w:rsid w:val="00D72E14"/>
    <w:rsid w:val="00D7364B"/>
    <w:rsid w:val="00D74672"/>
    <w:rsid w:val="00D769F6"/>
    <w:rsid w:val="00D87C80"/>
    <w:rsid w:val="00D94CB0"/>
    <w:rsid w:val="00D95C8E"/>
    <w:rsid w:val="00D96220"/>
    <w:rsid w:val="00D9799E"/>
    <w:rsid w:val="00DA7370"/>
    <w:rsid w:val="00DA7DFB"/>
    <w:rsid w:val="00DB300F"/>
    <w:rsid w:val="00DB454A"/>
    <w:rsid w:val="00DC598C"/>
    <w:rsid w:val="00DC68A9"/>
    <w:rsid w:val="00DC71C8"/>
    <w:rsid w:val="00DC79B4"/>
    <w:rsid w:val="00DD0965"/>
    <w:rsid w:val="00DD0CF2"/>
    <w:rsid w:val="00DD57EC"/>
    <w:rsid w:val="00DD5E3A"/>
    <w:rsid w:val="00DD5E95"/>
    <w:rsid w:val="00DD5EC3"/>
    <w:rsid w:val="00DE050B"/>
    <w:rsid w:val="00DF1A93"/>
    <w:rsid w:val="00DF20B2"/>
    <w:rsid w:val="00DF68B7"/>
    <w:rsid w:val="00E00CFE"/>
    <w:rsid w:val="00E03B82"/>
    <w:rsid w:val="00E04A01"/>
    <w:rsid w:val="00E072FE"/>
    <w:rsid w:val="00E07469"/>
    <w:rsid w:val="00E14035"/>
    <w:rsid w:val="00E16AEC"/>
    <w:rsid w:val="00E174AA"/>
    <w:rsid w:val="00E20B3C"/>
    <w:rsid w:val="00E2427A"/>
    <w:rsid w:val="00E249BA"/>
    <w:rsid w:val="00E25D94"/>
    <w:rsid w:val="00E309D6"/>
    <w:rsid w:val="00E37288"/>
    <w:rsid w:val="00E40B6D"/>
    <w:rsid w:val="00E42681"/>
    <w:rsid w:val="00E451D4"/>
    <w:rsid w:val="00E46A70"/>
    <w:rsid w:val="00E46F71"/>
    <w:rsid w:val="00E50124"/>
    <w:rsid w:val="00E5081A"/>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86868"/>
    <w:rsid w:val="00E93D0A"/>
    <w:rsid w:val="00EA08AA"/>
    <w:rsid w:val="00EA1BD4"/>
    <w:rsid w:val="00EA4A67"/>
    <w:rsid w:val="00EB392E"/>
    <w:rsid w:val="00EB56CB"/>
    <w:rsid w:val="00EC018E"/>
    <w:rsid w:val="00EC05FE"/>
    <w:rsid w:val="00EC0807"/>
    <w:rsid w:val="00EC2572"/>
    <w:rsid w:val="00EC5306"/>
    <w:rsid w:val="00ED0E02"/>
    <w:rsid w:val="00ED1230"/>
    <w:rsid w:val="00ED17EB"/>
    <w:rsid w:val="00EE0337"/>
    <w:rsid w:val="00EE3739"/>
    <w:rsid w:val="00EE7E48"/>
    <w:rsid w:val="00EE7F53"/>
    <w:rsid w:val="00EF2AAE"/>
    <w:rsid w:val="00EF398E"/>
    <w:rsid w:val="00F027A4"/>
    <w:rsid w:val="00F10419"/>
    <w:rsid w:val="00F14B16"/>
    <w:rsid w:val="00F15A22"/>
    <w:rsid w:val="00F23C5D"/>
    <w:rsid w:val="00F24BA3"/>
    <w:rsid w:val="00F251A3"/>
    <w:rsid w:val="00F260AE"/>
    <w:rsid w:val="00F346D7"/>
    <w:rsid w:val="00F35512"/>
    <w:rsid w:val="00F37521"/>
    <w:rsid w:val="00F41B94"/>
    <w:rsid w:val="00F43087"/>
    <w:rsid w:val="00F469E9"/>
    <w:rsid w:val="00F531AA"/>
    <w:rsid w:val="00F54098"/>
    <w:rsid w:val="00F5586A"/>
    <w:rsid w:val="00F6156E"/>
    <w:rsid w:val="00F62C5B"/>
    <w:rsid w:val="00F71A0E"/>
    <w:rsid w:val="00F7407A"/>
    <w:rsid w:val="00F81792"/>
    <w:rsid w:val="00F84704"/>
    <w:rsid w:val="00F86912"/>
    <w:rsid w:val="00F86A0D"/>
    <w:rsid w:val="00F871AD"/>
    <w:rsid w:val="00F902D6"/>
    <w:rsid w:val="00F90BB1"/>
    <w:rsid w:val="00F94CF8"/>
    <w:rsid w:val="00FA4E2F"/>
    <w:rsid w:val="00FA787B"/>
    <w:rsid w:val="00FC1DCC"/>
    <w:rsid w:val="00FC277F"/>
    <w:rsid w:val="00FC7AAB"/>
    <w:rsid w:val="00FD5BE0"/>
    <w:rsid w:val="00FD7563"/>
    <w:rsid w:val="00FE2312"/>
    <w:rsid w:val="00FE290A"/>
    <w:rsid w:val="00FE3070"/>
    <w:rsid w:val="00FE37C6"/>
    <w:rsid w:val="00FF29E7"/>
    <w:rsid w:val="00FF3408"/>
    <w:rsid w:val="00FF43EF"/>
    <w:rsid w:val="041B6D11"/>
    <w:rsid w:val="05CA854B"/>
    <w:rsid w:val="072F2146"/>
    <w:rsid w:val="15370D0F"/>
    <w:rsid w:val="168E3DA5"/>
    <w:rsid w:val="1A8F7853"/>
    <w:rsid w:val="1F2D3520"/>
    <w:rsid w:val="2175A205"/>
    <w:rsid w:val="29FDCF3F"/>
    <w:rsid w:val="2AB01047"/>
    <w:rsid w:val="2AF2D066"/>
    <w:rsid w:val="2BC45FE3"/>
    <w:rsid w:val="331D314E"/>
    <w:rsid w:val="4011376F"/>
    <w:rsid w:val="428391CC"/>
    <w:rsid w:val="4BD10F9C"/>
    <w:rsid w:val="539B5231"/>
    <w:rsid w:val="66AF3084"/>
    <w:rsid w:val="6B31560C"/>
    <w:rsid w:val="6BCEE888"/>
    <w:rsid w:val="6C02F468"/>
    <w:rsid w:val="74346970"/>
    <w:rsid w:val="79C6B91E"/>
    <w:rsid w:val="7A9F6C68"/>
    <w:rsid w:val="7E5A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98FE2"/>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F3270"/>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360428491">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xon.co.uk/documents/change/cps/cp1551-cp1600/cp1589-cp-consultation-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xon.co.uk/meeting/svg27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xon.co.uk/change-proposal/cp155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xon.co.uk/documents/change/cps/cp1551-cp1600/cp1589-progression-pap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DEL2103</Doc_x0020_Number>
    <Work_x0020_Stream xmlns="701ba468-dae9-4317-9122-2627e28a41f4">Design</Work_x0020_Stream>
    <_x003a_ xmlns="701ba468-dae9-4317-9122-2627e28a41f4" xsi:nil="true"/>
    <V xmlns="701ba468-dae9-4317-9122-2627e28a41f4">v1.0</V>
    <DateofMeeting xmlns="701ba468-dae9-4317-9122-2627e28a41f4">2024-01-10T00:00:00+00:00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32 Papers - Attachment 3 - CR041 Change the format of Market Participant Role Code from Char(1) to Char(2) v1.0</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Props1.xml><?xml version="1.0" encoding="utf-8"?>
<ds:datastoreItem xmlns:ds="http://schemas.openxmlformats.org/officeDocument/2006/customXml" ds:itemID="{9138C36B-CC9B-40D5-850D-DF05F5CAA629}">
  <ds:schemaRefs>
    <ds:schemaRef ds:uri="http://schemas.openxmlformats.org/officeDocument/2006/bibliography"/>
  </ds:schemaRefs>
</ds:datastoreItem>
</file>

<file path=customXml/itemProps2.xml><?xml version="1.0" encoding="utf-8"?>
<ds:datastoreItem xmlns:ds="http://schemas.openxmlformats.org/officeDocument/2006/customXml" ds:itemID="{A677CD66-3C31-46F4-B48E-C904A1B1DF1D}"/>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3063</Words>
  <Characters>17461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2023-12-18T10:45:00Z</dcterms:created>
  <dcterms:modified xsi:type="dcterms:W3CDTF">2023-12-18T10:45:00Z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4945900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